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P/4074/2013 vom 2. April 2014</w:t>
      </w:r>
    </w:p>
    <w:p>
      <w:r>
        <w:t>GE Cour de justice, 2014-04-02, FR</w:t>
      </w:r>
    </w:p>
    <w:p>
      <w:r>
        <w:rPr>
          <w:b/>
        </w:rPr>
        <w:t xml:space="preserve">Quelle: </w:t>
      </w:r>
      <w:r>
        <w:t>https://mcp.opencaselaw.ch/entscheid/ge_gerichte_P_4074_2013</w:t>
      </w:r>
    </w:p>
    <w:p>
      <w:r>
        <w:t>FR: GE_GERICHTE P/4074/2013 du 2 avril 2014</w:t>
      </w:r>
    </w:p>
    <w:p>
      <w:r>
        <w:t>IT: GE_GERICHTE P/4074/2013 del 2 aprile 2014</w:t>
      </w:r>
    </w:p>
    <w:p>
      <w:pPr>
        <w:pStyle w:val="Heading2"/>
      </w:pPr>
      <w:r>
        <w:t>Regeste</w:t>
      </w:r>
    </w:p>
    <w:p>
      <w:r>
        <w:t>VIOLENCE CONTRE LES AUTORITÉS; MENACE(DROIT PÉNAL); SÉJOUR ILLÉGAL; FIXATION DE LA PEINE; EXEMPTION DE PEINE; CONCOURS D'INFRACTIONS; LIBÉRATION CONDITIONNELLE; PÉRIODE D'ESSAI | CP.285.1; LEtr.115.1.B; CP.47; CP.50; CP.49.1; CP.52; CP.42; CP.89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2.2.2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 2 e éd., 2007, n. 5 ad art. 285 CP ; B. CORBOZ, Les infractions en droit suisse , vol. II, 2010,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 vol II, n. 4 ad art. 285 CP ; G. STRATENWERTH / F. BOMMER, Schweizerisches Strafrecht, Besonderer Teil II : Straftaten gegen Gemeininteressen , 6 e éd., 2008, § 50 n. 20), alors que, d'après d'autres auteurs, de tels actes ne sauraient être qualifiés d'actes de violence au sens de l'art. 285 CP, mais constituent des actes d'opposition selon l'art. 286 CP (S. TRECHSEL, Schweizerisches Strafgesetzbuch : Praxiskommentar , Zurich/Saint-Gall 2008, n. 3 ad art. 285 ; S. HEIMGARTNER, op. cit. , n. 7 ad art. 285 CP). Enfin, la violence doit atteindre le fonctionnaire, mais non un tiers (S. HEIMGARTNER, op. cit. , n. 9 ad art. 285 CP). La menace correspond à celle de l'art. 180 CP, même s'il n'est pas précisé qu'elle doit porter sur un dommage sérieux (arrêt du Tribunal fédéral 6B_257/2010 du 5 octobre 2010 consid. 5.1 ; B. CORBOZ, op. cit. , vol. II, n. 5 ad art. 285 CP ; S. HEIMGARTNER, op. cit. , n. 10 ad art. 285). Elle peut être expresse ou non et communiquée par n'importe quel moyen. Elle peut être exprimée oralement, par écrit ou par un comportement concluant ; elle peut être transmise par un intermédiaire ; il faut analyser le comportement de l'auteur dans son ensemble pour dire s'il en résulte une menace, celle-ci pouvant être sous-entendue (B. CORBOZ, op. cit. , vol. I, n. 9 ad art. 181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vol. II, n. 11 ad art. 285 CP). 2.2.3 L'art. 285 al. 1 CP réprime également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 vol. II, n. 17 ad art. 285 ; S. TRECHSEL, op. cit,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2.3</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 Stämpfli Verlag AG, Bern, 2010, n. 27/28 ad art. 115 LEtr - arrêts du Tribunal fédéral 6B_783/2011 du 2 mars 2012 consid. 1.3 ; 6B_482/2010 du 7 octobre 2010 consid. 3.2.2 ; 6B_85/2007 du 3 juillet 2007 consid. 2.3). 2.4.1 En l'espèce, il est établi que le policier qui s'est présenté devant l'appelant l'a hélé en prononçant ses nom et prénom en vue de l'interpeller. Il est également établi que l'appelant a voulu s'enfuir en repoussant violemment la personne présente devant lui, la violence du coup ayant failli causer la chute du policier. Ce dernier a pu s'agripper à l'écharpe de l'appelant, laissant ainsi le temps à l'appointé E______ de balayer ses jambes, celui-ci ayant rappelé, ou à tout le moins annoncé, qu'il s'agissait de la police. L'appelant cachait ses mains sous son corps durant son menottage et résistait. En effet, les policiers craignant, non sans raison comme l'a révélé par la suite la fouille, que l'appelant soit muni d'une arme, ont dû user de la force pour parvenir à leurs fins. Il doit donc être retenu que, indépendamment de ce qu'il a pu comprendre lorsque l'appointé D______ s'est présenté à lui, l'appelant, a, à tout le moins, rapidement réalisé qu'il était interpellé par la police, qu'il a empêché de procéder à son arrestation en gardant ses mains sous sa personne, ceci étant ressenti comme une menace par les gendarmes. Les forces de l'ordre ont donc dû adapter leur comportement à celui de l'appelant, l'interpellation ayant nécessité le concours de deux autres personnes. Ces éléments réalisent la première variante de l'art. 285 CP. 2.4.2 Malgré les témoignages contradictoires sur ce sujet, il est en définitive établi que l'appointé D______ ne portait pas de plaque de police sur sa personne, comme il l'a lui-même déclaré devant les premiers juges. Il semblerait également qu'il ne portait pas de brassard au regard des témoignages des appointés E______ et F______, le quartier étant hostile aux forces de l'ordre et il apparaissait judicieux d'intervenir le plus discrètement possible selon le sous-brigadier G______. La même conclusion s'impose en ce qui concerne le mot "police" prononcé par l'appointé D______, ce dernier ayant précisé devant le tribunal qu'il n'avait pas eu le temps de le prononcer, ce que confirme également le sous-brigadier G_______. Toutefois, le comportement de l'appelant montre qu'il savait parfaitement à qui il avait affaire, admettant lui-même qu'il n'était pas dans l'ordre des choses qu'un parfait inconnu se présente à lui et l'invective en prononçant son nom et son prénom. Il se savait aussi en situation irrégulière en Suisse et recherché. Voulant fuir, il a assené un coup de poing à son interlocuteur, ce que confirme l'appointé E______, sans que le coup porté ne cause de lésions visibles. Partant, la Chambre de céans retient que l'appelant s'est sciemment livré à des voies de faits sur un policier qui tentait de l'appréhender, réalisant ainsi la deuxième variante de la disposition légale précitée. L'appel sera rejeté sur ce point.</w:t>
      </w:r>
    </w:p>
    <w:p>
      <w:r>
        <w:rPr>
          <w:b/>
        </w:rPr>
        <w:t>E. 2.5</w:t>
      </w:r>
    </w:p>
    <w:p>
      <w:r>
        <w:t>L'appelant a admis se trouver illégalement en Suisse. Il a un passeport, qu'il refuse de porter sur lui, nécessairement pour ne pas faciliter son refoulement. L'appelant avait donc d'autres choix que de rester sur le territoire helvétique. L'appel sera rejeté sur ce point, étant précisé que la période pénale à prendre en considération est celle courant du 30 janvier au 14 mars 2013. En effet, l'appelant a déjà été condamné par Ordonnance pénale du Minière public du 29 janvier 2013 pour la période du 24 décembre 2012 au 28 janvier 2013 et il était détenu le 29 janvier 2013.</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De même qu'une aggravation de la peine, une qualification juridique plus grave des faits viole l'interdiction de la reformatio in pejus consacrée par l'art. 391 al. 2, 1 ère phrase, CPP. Tel est le cas tant lorsque l'infraction nouvellement qualifiée est sanctionnée par la loi d'une peine, minimale ou maximale, plus lourde, que lorsque des infractions supplémentaires sont retenues. Il en va de même si, en appel, le condamné est déclaré coupable de l'infraction consommée en lieu et place de la tentative ou encore comme co-auteur au lieu de complice. L'existence d'une reformatio in pejus non conforme doit être examinée à l'aune du dispositif. Il n'est, en revanche, pas interdit à l'autorité de recours ( Rechtsmittel ) de s'exprimer dans ses considérants sur la qualification juridique lorsque le tribunal de première instance s'est fondé sur un autre état de fait ou des considérations juridiques erronées (ATF 139 IV 282 consid. 2.5 ss). 3.5.1 L'art. 50 CP impose au juge d'indiquer les circonstances pertinentes pour la fixation de la peine et leur importance. Cette disposition codifie la jurisprudence relative à la motivation de la peine rendue en application de l'art. 63 aCP, laquelle conserve donc son actualité (arrêts du Tribunal fédéral 6B_143/2007 du 25 juin 2007 consid. 8.2 et 6B_14/2007 du 17 avril 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(ATF 127 IV 101 consid. 2c p. 105 ; arrêt du Tribunal fédéral 6B_762/2009 du 4 décembre 2009 consid. 3.1). Plus la peine est élevée, plus la motivation doit être complète. Cela vaut surtout lorsque la peine, dans le cadre légal, apparaît comparativement très élevée (ATF 134 IV 17 consid. 2.1 p. 20 ; 127 IV 101 consid. 2c p. 105 ; ATF 6B_260/2008 du 10 octobre 2008 consid. 2.2). 3.5.2 En matière de séjour illégal, le Tribunal fédéral a jugé que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w:t>
      </w:r>
    </w:p>
    <w:p>
      <w:r>
        <w:rPr>
          <w:b/>
        </w:rPr>
        <w:t>E. 3.6</w:t>
      </w:r>
    </w:p>
    <w:p>
      <w:r>
        <w:t>Pour l'octroi du sursis, respectivement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3.7</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En revanche, la perpétration d'une seule contravention ne permet pas la réintégration, à moins qu'elle ne corresponde simultanément à la violation d'une règle de conduite (art. 95 al. 5 CP ; cf .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3.8</w:t>
      </w:r>
    </w:p>
    <w:p>
      <w:r>
        <w:t>En l'espèce, la faute de l'appelant est importante. Il s'est attaqué lâchement, avec un comparse, à une personne seule dans un lieu isolé. Le déchaînement de violence gratuite envers B______ est inexplicable. L'appelant a également, malgré tous les avertissements reçus, persisté à résider en Suisse sans droit, cachant même son passeport pour entraver le bon fonctionnement de la justice. Enfin, il a donné, sans droit, un coup de poing à un représentant des forces de l'ordre et résisté à son interpellation en cachant ses mains sous son corps, ce qui a été ressenti comme une menace par les agents. Son mobile relève de l'appât du gain, alors qu'il a de la famille qui peut l'aider. Il a également, par convenance personnelle, voulu fausser compagnie aux policiers venus l'appréhender et fait preuve d'un mépris patent de l'ordre juridique en résidant illégalement en Suisse. Sa collaboration à la procédure a été médiocre. Bien qu'il ait reconnu être l'un des auteurs de l'agression de B______ – ne pouvant faire autrement vu l'identification de son profil ADN – il a persisté à en contester tous les éléments périphériques, notamment la violence exercée à l'égard de la victime. Ses excuses ne peuvent donc être que très circonstancielles. Il a contesté être l'auteur des autres infractions, mentant sur les circonstances entourant son interpellation et accusant les policiers d'actes graves. Il a été condamné à sept reprises, notamment pour violation de la législation sur les étrangers et n'a pas jugé utile de donner suite à l'interdiction d'entrée sur le territoire prononcée à son encontre. Sa culpabilité est importante. L'appelant ne saurait, partant, être mis au bénéfice d'une exemption de peine. Pour le surplus, l'absence de décision de renvoi à son encontre ne saurait constituer un fait justificatif, l'appelant n'étant pas contraint de demeurer en Suisse.</w:t>
      </w:r>
    </w:p>
    <w:p>
      <w:r>
        <w:rPr>
          <w:b/>
        </w:rPr>
        <w:t>E. 3.9</w:t>
      </w:r>
    </w:p>
    <w:p>
      <w:r>
        <w:t>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loi sur les étrangers afin d'éviter que le plafond d'une année prévu par la disposition topique ne soit dépassé. L'appelant a été condamné le 11 décembre 2011 pour entrée illégale, point de départ de la période pénale. Il faut en effet considérer que les séjours illégaux antérieurs à cette date ne relèvent pas de la même intention, l'appelant ayant choisi de quitter puis de revenir sur le territoire suisse. Postérieurement à la date de son retour, l'appelant a été l'objet de trois condamnations totalisant huit mois de peine privative de liberté portant exclusivement sur des infractions à la législation sur les étrangers. Dans les autres cas, eu égard à la gravité plus importante des infractions autres que les violations de la LEtr, il faut retenir que la part des peines cumulées sanctionnant ces derniers délits est de l'ordre de deux mois. Contrairement à ce qu'a retenu le premier juge, il n'y a pas lieu à prononcer une peine complémentaire, la Chambre de céans n'ayant pas à juger d'infractions qui auraient, par hypothèse, été commises avant la précédente condamnation de l'appelant. Toutefois, en respect avec le principe de la prohibition de la reformatio in pejus , il sied de ne pas condamner plus durement l'appelant pour autant. Il y a concours d'infractions. Eu égard à l'ensemble des circonstances, le prononcé d'une peine privative d'ensemble de deux ans et trois mois est adéquat, révocation de la libération conditionnelle comprise ( cf. infra consid. 3.11), dont un mois sanctionnant le séjour illégal, de sorte que les peines cumulées prononcées à ce jour à l'encontre de l'appelant ne dépassant pas la peine menace de l'art. 115 al. 1 LEtr. Le jugement entrepris sera réformé dans ce sens.</w:t>
      </w:r>
    </w:p>
    <w:p>
      <w:r>
        <w:rPr>
          <w:b/>
        </w:rPr>
        <w:t>E. 3.10</w:t>
      </w:r>
    </w:p>
    <w:p>
      <w:r>
        <w:t>L'absence de moyens de subsistance de l'appelant en Suisse, son statut administratif précaire et ses antécédents spécifiques fondent un pronostic clairement défavorable. Ses récentes fiançailles ne paraissent, en l'état, pas avoir eu un effet structurant. Rien ne montre qu'il ait plus pris maintenant conscience de ses fautes qu'auparavant. Ses projets d'avenir sont flous. Il est à ce propos douteux qu'il ait des chances de s'amender en déménageant dans un pays dans lequel, a priori , il n'a pas non plus le droit de résider, à supposer encore que sa fiancée veuille bien le suivre. L'appelant se verra ainsi refuser le bénéfice du sursis, fût-il partiel.</w:t>
      </w:r>
    </w:p>
    <w:p>
      <w:r>
        <w:rPr>
          <w:b/>
        </w:rPr>
        <w:t>E. 3.11</w:t>
      </w:r>
    </w:p>
    <w:p>
      <w:r>
        <w:t>Les éléments retenus pour le refus du sursis valent mutatis mutandis en ce qui concerne la révocation de la libération conditionnelle octroyée par le TAPEM le 19 mars 2012. L'appelant n'a fait que très peu de cas de la confiance octroyée, commettant, entre autres, un vol d'usage moins de six mois plus tard. Par ailleurs, il s'entête à demeurer là où il n'en a pas le droit.</w:t>
      </w:r>
    </w:p>
    <w:p>
      <w:r>
        <w:rPr>
          <w:b/>
        </w:rPr>
        <w:t>E. 4</w:t>
      </w:r>
    </w:p>
    <w:p>
      <w:r>
        <w:t>Les motifs ayant conduit le premier juge à prononcer, par ordonnance séparée du 16 juillet 2013,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n'obtient que partiellement gain de cause, supportera les trois quarts des frais de la procédure d'appel, comprenant dans leur totalité un émolument de CHF 1'600.–, le solde étant laissé à la charge de l’Etat (art. 428 CPP et art. 14 al. 1 let. e du Règlement fixant le tarif des frais en matière pénale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