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P/4069/2007 vom 11. November 2008</w:t>
      </w:r>
    </w:p>
    <w:p>
      <w:r>
        <w:t>GE Cour de justice, 2008-11-11, FR</w:t>
      </w:r>
    </w:p>
    <w:p>
      <w:r>
        <w:rPr>
          <w:b/>
        </w:rPr>
        <w:t xml:space="preserve">Quelle: </w:t>
      </w:r>
      <w:r>
        <w:t>https://mcp.opencaselaw.ch/entscheid/ge_gerichte_P_4069_2007</w:t>
      </w:r>
    </w:p>
    <w:p>
      <w:r>
        <w:t>FR: GE_GERICHTE P/4069/2007 du 11 novembre 2008</w:t>
      </w:r>
    </w:p>
    <w:p>
      <w:r>
        <w:t>IT: GE_GERICHTE P/4069/2007 del 11 novembre 2008</w:t>
      </w:r>
    </w:p>
    <w:p>
      <w:pPr>
        <w:pStyle w:val="Heading2"/>
      </w:pPr>
      <w:r>
        <w:t>Regeste</w:t>
      </w:r>
    </w:p>
    <w:p>
      <w:r>
        <w:t>; AGRESSION ; LÉSION CORPORELLE GRAVE ; LÉSION CORPORELLE SIMPLE | CP.15; CP.16.2</w:t>
      </w:r>
    </w:p>
    <w:p>
      <w:pPr>
        <w:pStyle w:val="Heading2"/>
      </w:pPr>
      <w:r>
        <w:t>Erwägungen</w:t>
      </w:r>
    </w:p>
    <w:p>
      <w:r>
        <w:rPr>
          <w:b/>
        </w:rPr>
        <w:t>E. 1</w:t>
      </w:r>
    </w:p>
    <w:p>
      <w:r>
        <w:t>L'appel est recevable pour avoir été déposé selon la forme et dans le délai prescrits (art. 241 et 242 code de procédure pénale genevoise du 19 décembre 1941 (CPP – RS E 4 10.12)).</w:t>
      </w:r>
    </w:p>
    <w:p>
      <w:r>
        <w:rPr>
          <w:b/>
        </w:rPr>
        <w:t>E. 2.1</w:t>
      </w:r>
    </w:p>
    <w:p>
      <w:r>
        <w:t>A______ a conclu à ce que l’appelant soit reconnu coupable d’infraction aux art. 122 et 123 du code pénal du 21 décembre 1937 (CP – RS 311.0).</w:t>
      </w:r>
    </w:p>
    <w:p>
      <w:r>
        <w:rPr>
          <w:b/>
        </w:rPr>
        <w:t>E. 2.1.1</w:t>
      </w:r>
    </w:p>
    <w:p>
      <w:r>
        <w:t>L'art. 122 CP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L'art. 123 CP réprime les lésions du corps humain ou de la santé qui ne peuvent être qualifiées de graves au sens de l'art. 122 CP. A titre d'exemples, la jurisprudence cite l'administration d'injections, la tonsure totale et tout acte qui provoque un état maladif, l'aggrave ou en retarde la guérison, comme les blessures, les meurtrissures, les écorchures ou les griffures (ATF 119 IV 25 consid. 2a p. 26; 107 IV 40 consid. 5c p. 42; 103 IV 65 consid. 2c p. 70). Si la victime blessée est la seule personne agressée, l’art. 134 CP ne trouve pas application (ATF 118 IV 227 consid. 5b p. 229).</w:t>
      </w:r>
    </w:p>
    <w:p>
      <w:r>
        <w:rPr>
          <w:b/>
        </w:rPr>
        <w:t>E. 2.1.2</w:t>
      </w:r>
    </w:p>
    <w:p>
      <w:r>
        <w:t>La lésion subie par Y______, qui a entraîné la perte de la vue de l’œil droit, doit être qualifiée de grave, alors que les lésions corporelles subies par A______ sont des lésions corporelles simples, ainsi que le Tribunal de police l’a justement retenu, compte tenu de leur gravité moindre. En l’absence d’autre personne agressée que les parties civiles, l’art. 134 CP n’est pas applicable. Peu importe à ce stade que l’appelant ait frappé les parties civiles au moyen d’une barre de fer ou d’une matraque, l’une et l’autre étant des objets dangereux au sens de l’art. 123 ch. 2 CP, infraction retenue à juste titre par le Tribunal de police . 2.2.1 L'art. 33 al. 1 aCP – en vigueur au moment des faits, repris à l’art. 15 CP – dispose que quiconque, de manière contraire au droit, est attaqué ou menacé d'une attaque imminente a le droit de repousser l'attaque par des moyens proportionnés aux circonstances;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ATF 104 IV 232 consid. c) p. 236-237; arrêt du Tribunal fédéral 6B_674/2007 du 27 février 2008, consid. 3.2). Cette condition n'est pas réalisée lorsque l'attaque a cessé ou qu'il n'y a pas encore lieu de s'y attendre (ATF 93 IV 81 p. 83; arrêt du Tribunal fédéral précité ibidem ). Une attaque n'est cependant pas achevée aussi longtemps que le risque d'une nouvelle atteinte ou d'une aggravation de celle-ci par l'assaillant reste imminent (ATF 102 IV 1 consid. 2b) p. 4-5¸ arrêt du Tribunal fédéral précité ibidem ). Il faut toutefois que des signes concrets annonçant un danger incitent à la défense. Tel est notamment le cas lorsque l'agresseur adopte un comportement menaçant, se prépare au combat ou effectue des gestes qui donnent à le penser (ATF 93 IV 81 p. 83/84; arrêt du Tribunal fédéral précité ibidem ).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81 p. 83; arrêt du Tribunal fédéral précité ibidem ). Pour qu'il y ait légitime défense, il faut que l'auteur de l'acte qui conduit à un résultat illicite l'ait commis avec conscience et volonté dans le but de parer une attaque imminente (ATF 104 IV 1 p. 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Ainsi, en matière de légitime défense, il convient d’examiner si la version des faits invoquée pour justifier la licéité des actes apparaît crédible eu égard à l’ensemble des circonstances ; il faut déterminer si les faits allégués par l’accusé sont plausibles (PIQUEREZ, Traité de procédure pénale suisse , 2 ème éd., 2006, n. 702, p. 443). 2.2.2 Il n’est possible de tirer aucune conclusion de la survenance d’une bousculade plus tôt dans la soirée, à l’intérieur de la salle, impliquant X______ d’une part, A______ et D______ d’autre part. En effet, les divers intervenants ont livré des versions contradictoires s’agissant de qui avait provoqué cette bousculade et qui avait frappé qui. Le témoignage de D______ selon lequel X______ et lui étaient convenus de régler l’incident dehors n’est confirmé par aucune déclaration. Il n’est donc pas possible d’établir un lien entre les deux événements, ni d’en déduire que l’une ou l’autre partie nourrissait un dessin de vengeance. En ce qui concerne les faits eux-mêmes, les déclarations des parties civiles ont varié et ne concordent pas entre elles ou avec les éléments du dossier. Celles-ci ont commencé par affirmer que c’était l’individu qui accompagnait l’appelant qui les avait frappées, Y______ donnant même le nom du frère de B______, qu’il a reconnu sur une planche photographique, alors qu’aucun élément figurant à la procédure ne permet de retenir qu’il aurait été présent. Y______ soutient qu’il a rejoint un groupe dont faisait partie A______ et qui était en conflit avec l’appelant, alors que selon A______, c’est lui qui a rejoint Y______ au moment où il venait d’être frappé. Y______ a soutenu que l’homme qui l’avait frappé l’avait provoqué en duel, ce que son comparse, ni aucun autre témoin d’ailleurs, n’a pas rapporté. Il a déclaré ne pas avoir vu l’objet avec lequel il avait été frappé, puis avoir bien vu qu’il s’agissait d’une matraque. Pour sa part, l’appelant est globalement plus crédible, dans la mesure où il a été constant dans ses déclarations s’agissant du déroulement des faits. Ces déclarations sont corroborées par celles de B______. En particulier, tous deux ont toujours évoqué un comportement menaçant de Y______, armé d’un couteau, le vélo dont A______ s’était saisi, la présence d’un homme porteur d’un spray et l’arrivée d’une voiture occupée par des amis de leurs adversaires. Ces deux derniers éléments ont notamment été confirmés par D______, qui tenait le spray, et par l’agent de sécurité qui a vu la voiture, même si son témoignage est contradictoire sur le moment où ce véhicule était apparu. Le fait que le couteau n’ait pas été retrouvé n’est pas déterminant. La barre de fer ou matraque, utilisée par l’appelant pour le frapper, et dont l’existence n’est pas remise en cause, n’a pas non plus été retrouvée. Le couteau que Y______ aurait utilisé a très bien pu être ramassé par un tiers. Par ailleurs Y______ a concédé que, même si tel n’était plus le cas actuellement, il lui était arrivé de sortir armé d’un couteau lorsqu’il était plus jeune, ce qui ne constitue donc pas une circonstance exceptionnelle pour lui. La Chambre pénale estime certes moins plausibles les déclarations de l’appelant et celles de B______ selon lesquelles ils auraient trouvé des barres de fer, gisant providentiellement au sol, au moment où ils se sont sentis menacés, d’autant plus que sur ce point, leurs déclarations n’ont pas été constantes. Cependant, il est vrai aussi qu’aucun élément du dossier ne permet de tenir pour établi que l’appelant possèderait une matraque télescopique et l’emmènerait avec lui lorsqu’il sort le soir, étant rappelé qu’il n’a pas d’antécédents, notamment de violence, qu’il n’est pas établi qu’il appartient à la bande des Charmilles et que sa compagne ne lui connaît pas d’armes. En définitive, en application du principe in dubio pro reo, il convient donc de s’en tenir à la version de l’appelant sur ce point également. Les déclarations des divers témoins ne sont pas particulièrement probantes, sous réserve des éléments évoqués ci-dessus : Selon D______, X______ et B______ avaient chacun donné un coup, alors qu’il n’est pas contesté que seul le premier a frappé les parties civiles. Il a varié dans ses déclarations s’agissant de la position de Y______. Au demeurant, vu son implication le soir des faits, son témoignage doit en tout état être apprécié avec réserve. C______ a donné une version des faits identique à celle de A______, mais qui diffère de celle de Y______. Il a par ailleurs déclaré qu’il ne s’était pas approché et qu’il avait bu ce soir là. Il ne s’est pas présenté à la police et son témoignage devant le Tribunal de police est intervenu près de deux ans après les faits, de sorte que sa valeur probante est limitée. Les témoins J______ et K______, entendus pour la première fois devant la Chambre pénale, ont livré des versions identiques et ont tous deux désigné A______ comme étant la personne qui s’était saisie du vélo, alors qu’ils ne l’avaient, a priori , pas rencontré auparavant. Il paraît toutefois surprenant que l’appelant – qui n’avait jamais mentionné leur présence sur les lieux – n’ait pas requis leur audition plus tôt alors qu’il savait déjà, à tout le moins après sa condamnation par ordonnance de condamnation, qu’il risquait une peine significative et que les déclarations de ces témoins étaient donc essentielles. La force probante de leurs déclarations doit dès lors également être relativisée. Sur la base de ce qui précède, la Chambre pénale retient qu’il n’est pas établi que l’appelant, entouré de ses amis, aurait été à l’origine de l’altercation. Conformément à ses déclarations, c’est plutôt le groupe des parties civiles qui s’en est pris à l’appelant et ses amis. Dans ce contexte, la partie civile Y______ a menacé l’appelant d’un couteau, puis la partie civile A______ a tenté de jeter un vélo sur lui. En les frappant d’une barre de fer, l’appelant a donc agi en état de légitime défense.</w:t>
      </w:r>
    </w:p>
    <w:p>
      <w:r>
        <w:rPr>
          <w:b/>
        </w:rPr>
        <w:t>E. 2.3</w:t>
      </w:r>
    </w:p>
    <w:p>
      <w:r>
        <w:t>Il convient encore d’examiner si cette légitime défense était proportionnée.</w:t>
      </w:r>
    </w:p>
    <w:p>
      <w:r>
        <w:rPr>
          <w:b/>
        </w:rPr>
        <w:t>E. 2.3.1</w:t>
      </w:r>
    </w:p>
    <w:p>
      <w:r>
        <w:t>Pour déterminer si l'intéressé s'est défendu en recourant à des moyens proportionnés aux circonstances, il faut prendre en considération la gravité de l'attaque, la nature du moyen de défense choisi et les conditions de son usage, en tenant compte de la situation dans laquelle s'est trouvée la victime de l'agression. Il n'y a pas lieu de se livrer à une analyse rétrospective trop sévère pour savoir si elle aurait pu recourir à des moyens aussi efficaces, mais moins dommageables. (ATF 107 IV 12 consid. 3-4 p. 15-16).</w:t>
      </w:r>
    </w:p>
    <w:p>
      <w:r>
        <w:rPr>
          <w:b/>
        </w:rPr>
        <w:t>E. 2.3.2</w:t>
      </w:r>
    </w:p>
    <w:p>
      <w:r>
        <w:t>Certes, un couteau est une arme dangereuse, susceptible de causer des blessures graves et mêmes mortelles, ce qui peut justifier le recours à la violence pour se défendre. Il reste que le coup que l’appelant a donné à son assaillant à la tête, soit un endroit particulièrement vulnérable du corps, était d’une violence notable, vu la gravité des lésions provoquées. Y______ s’est d’ailleurs aussitôt effondré. Pour rester dans les limites d’une défense proportionnée, l’appelant aurait pu, et aurait dû, viser une autre partie du corps de son adversaire et/ou maîtriser davantage sa force. La violence de la réaction de l’appelant n’est pas non plus justifiée par les circonstances particulières. En effet si, comme indiqué précédemment, l’appelant est globalement crédible dans ses déclarations, il ne l’est pas s’agissant de la disparité numérique entre les deux groupes, ayant manifestement exagéré en articulant le nombre d’une quinzaine (voire plus) de personnes en ce qui concerne ses adversaires et affirmant que B______ et lui n’étaient que deux. Les deux groupes étaient au contraire d’importance comparable, soit environ cinq personnes pour le groupe des parties civiles (notamment : les deux parties civiles, D______ et un individu qui tenait une bouteille) et environ quatre personnes pour le groupe de l’appelant (l’appelant, B______ et au moins deux amis, sans doute les témoins J______ et K______ ce qui expliquerait que l’appelant ne se soit résolu que tardivement à requérir leur audition) étant rappelé que le témoin G______ a notamment évoqué la présence de quatre ou cinq Albanais.</w:t>
      </w:r>
    </w:p>
    <w:p>
      <w:r>
        <w:rPr>
          <w:b/>
        </w:rPr>
        <w:t>E. 2.3.3</w:t>
      </w:r>
    </w:p>
    <w:p>
      <w:r>
        <w:t>L’appelant a également dépassé les limites de la légitime défense en frappant A______ au visage au moyen d’une barre, ce dernier s’apprêtant à lancer un vélo sur lui. Certes, l’attaque dont il était menacé aurait pu causer quelques douleurs ou lésions, mais pas d’une gravité justifiant un coup de barre de fer au visage. L’appelant a d’ailleurs reconnu qu’il aurait été préférable de frapper le vélo plutôt A______.</w:t>
      </w:r>
    </w:p>
    <w:p>
      <w:r>
        <w:rPr>
          <w:b/>
        </w:rPr>
        <w:t>E. 2.4</w:t>
      </w:r>
    </w:p>
    <w:p>
      <w:r>
        <w:t>A titre subsidiaire, l’appelant se prévaut de l’art. 16 al. 2 CP, rappelant avoir éprouvé de la peur.</w:t>
      </w:r>
    </w:p>
    <w:p>
      <w:r>
        <w:rPr>
          <w:b/>
        </w:rPr>
        <w:t>E. 2.4.1</w:t>
      </w:r>
    </w:p>
    <w:p>
      <w:r>
        <w:t>Selon l’art. 33 al. 2 aCP in fine , en vigueur au moment des faits, celui qui dépasse les limites de la légitime défense n’encourra aucune peine, ce qui implique un acquittement (ATF 73 IV 261 ; 101 IV 121 ; S. TRECHSEL, Schweizerisches Strafgesetzbuc, Kurzkommentar , 2 ème éd., Zurich 1997, p. 141, n. 17 ad art. 33), si son excès provient d’un état excusable d’excitation ou de saisissement. L'auteur de l'excès n’agit donc pas de manière coupable dans la mesure seulement où l'attaque sans droit est la seule cause ou la cause prépondérante de l'excitation ou du saisissement de celui qui se défend, à condition encore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arrêt du 14 avril 1987, in SJ 1988 p. 121). Le nouveau droit (art. 16 al. 2 CP) n’étant pas plus favorable à la défense, il convient d’appliquer l’art. 33 al. 2 in fine aCP.</w:t>
      </w:r>
    </w:p>
    <w:p>
      <w:r>
        <w:rPr>
          <w:b/>
        </w:rPr>
        <w:t>E. 2.4.2</w:t>
      </w:r>
    </w:p>
    <w:p>
      <w:r>
        <w:t>En l’occurrence, l’appelant a toujours expliqué sa réaction par le fait qu’il avait eu peur. Certes, comme il vient d’être retenu, il a un peu forcé le trait, exagérant sur la disparité numérique entre le groupe des assaillants et son propre groupe. Il demeure toutefois que le fait d’être agressé à la sortie d’une manifestation par une bande de jeune gens, dont certains armés de couteau, spray et bouteille, est de nature à susciter une vive peur, d’où un état de saisissement expliquant une réaction excessive. Un tel état est d’autant plus compréhensible en l’occurrence que l’appelant n’est pas un bagarreur – le contraire, notamment moyennant sa supposée affiliation à la bande des Charmilles, n’ayant pas été établi – et qu’il tenait pour sa part la partie civile Y______ pour dangereuse. En outre, cet état de saisissement était excusable, l’appelant n’ayant pas provoqué l’agression, comme il a été retenu ci-dessus, en application du principe in dubio pro reo . Dans ces circonstances, il y a lieu de retenir que l’appelant a agi dans un état de légitime défense excessive excusable, au sens de l’art. 33 al. 2 aCP in fine , lorsqu’il a frappé Y______, qui le menaçait d’un couteau puis, aussitôt après, A______ qui s’était saisi d’un vélo et s’apprêtait à le jeter sur lui, de sorte qu’il n’a pas agi de manière coupable et doit être libéré des fins de la poursuite. Le jugement sera réformé en ce sens.</w:t>
      </w:r>
    </w:p>
    <w:p>
      <w:r>
        <w:rPr>
          <w:b/>
        </w:rPr>
        <w:t>E. 3</w:t>
      </w:r>
    </w:p>
    <w:p>
      <w:r>
        <w:t>S’agissant des prétentions civiles, l’acquittement de l’appelant au pénal n’implique pas nécessairement sa libération de toute obligation de réparer le préjudice causé, en tout ou en partie eu égard à la faute concomitante de ses assaillants-victimes. En effet, l’acte de l’auteur acquitté en application de l’art. 33 al. 2 aCP in fine n’en est pas moins illicite (G. STRATENWERTH, Schweizerisches Strafrect, Allgemeiner Teil I, Die Straftat , 9è éd., Berne 2005, p. 246, n. 87 ; M. DUPUIS et autres, Petit commentaire, Code pénal I, partie générale, p. 348, n. 11 ad art. 16). Toutefois, en l’absence de condamnation, le juge pénal n’est pas compétent pour trancher de cette question (art. 38 al. 1 Loi sur l’aide aux victimes d’infractions du 23 mars 2007 (LAVI – RS 312.5) ; art. 229 al. 6 CPP). Le jugement sera donc annulé sur ce point également, les parties civiles étant renvoyées à agir devant le juge civil, si elles l’estiment opportun.</w:t>
      </w:r>
    </w:p>
    <w:p>
      <w:r>
        <w:rPr>
          <w:b/>
        </w:rPr>
        <w:t>E. 4</w:t>
      </w:r>
    </w:p>
    <w:p>
      <w:r>
        <w:t>Vu l’issue de la procédure ainsi que les circonstances, les frais de première instance et d’appel seront laissés à la charge de l’Etat (art. 97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