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P/4056/2016 vom 10. Januar 2018</w:t>
      </w:r>
    </w:p>
    <w:p>
      <w:r>
        <w:t>GE Cour de justice, 2018-01-10, FR</w:t>
      </w:r>
    </w:p>
    <w:p>
      <w:r>
        <w:rPr>
          <w:b/>
        </w:rPr>
        <w:t xml:space="preserve">Quelle: </w:t>
      </w:r>
      <w:r>
        <w:t>https://mcp.opencaselaw.ch/entscheid/ge_gerichte_P_4056_2016</w:t>
      </w:r>
    </w:p>
    <w:p>
      <w:r>
        <w:t>FR: GE_GERICHTE P/4056/2016 du 10 janvier 2018</w:t>
      </w:r>
    </w:p>
    <w:p>
      <w:r>
        <w:t>IT: GE_GERICHTE P/4056/2016 del 10 gennaio 2018</w:t>
      </w:r>
    </w:p>
    <w:p>
      <w:pPr>
        <w:pStyle w:val="Heading2"/>
      </w:pPr>
      <w:r>
        <w:t>Regeste</w:t>
      </w:r>
    </w:p>
    <w:p>
      <w:r>
        <w:t>ARME(OBJET) ; EXPORTATION(EN GÉNÉRAL) ; ERREUR SUR LES FAITS(DROIT PÉNAL) | LCB.14.al3.ch2.par3; CP.13; CP.21; CP.47; CPP.429.al1; LArm.4.al1.leta; LArm.22.al1; CBA.3.al1; OCB.13.al1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3</w:t>
      </w:r>
    </w:p>
    <w:p>
      <w:r>
        <w:t>.4. Conformément à l'art. 14 al. 1 lit. a aLCB (dans sa teneur - restée identique - à l'époque des faits), est punissable celui qui, intentionnellement sans être titulaire d'un permis exporte des marchandises. Si l'auteur a agi par négligence, la peine sera l'emprisonnement pour six mois au plus ou une amende pouvant s'élever jusqu'à CHF 100'000.- (al. 3). 3.5.1. La négligence est l'imprévoyance coupable commise par celui qui, ne se rendant pas compte des conséquences de son acte, agit sans user des précautions commandées par les circonstances et sa situation personnelle (art. 12 al. 3 CP). 3.5.2.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p. 15 ss = JdT 2007 I 573 ; ATF 125 IV 242 consid. 3c p. 251 ; arrêt du Tribunal fédéral 6B_1189/2014 du 23 décembre 2015 consid. 5.2).</w:t>
      </w:r>
    </w:p>
    <w:p>
      <w:r>
        <w:rPr>
          <w:b/>
        </w:rPr>
        <w:t>E. 3.6</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Il y a erreur sur les faits, selon l'art. 13 CP, lorsque l'infraction est commise dans l'ignorance ou sous l'influence d'une appréciation incorrecte de l'un de ses éléments constitutifs. L'erreur de l'auteur peut porter sur un élément factuel ou juridique (ATF 129 IV 238 consid. 3.1 p. 240 ; arrêt du Tribunal fédéral 6B_63/2017 du 17 novembre 2017 consid. 3.2). En d'autres termes, les erreurs sur les éléments constitutifs d'une infraction qui impliquent des conceptions juridiques entrent dans le champ de l'art. 13 CP (arrêt du Tribunal fédéral 6B_806/2009 du 18 mars 2010 consid. 4.1). L'auteur peut par exemple croire par erreur qu'une chose lui appartient alors qu'en réalité elle appartient à autrui, ou croire par erreur que de l'argent provenant d'un trafic illicite n'est plus susceptible de confiscation, alors qu'en réalité il l'est encore (arrêt du Tribunal fédéral 6B_63/2017 du 17 novembre 2017 consid. 3.2). Lorsque l'erreur était évitable, elle conduira à un acquittement. En revanche, l'auteur sera punissable par négligence s'il avait pu éviter l'erreur en usant des précautions commandées par les circonstances et par sa situation personnelle. (M. DUPUIS / L. MOREILLON / C. PIGUET / S. BERGER / M. MAZOU / V. RODIGARI (éds), Code pénal - Petit commentaire , 2 e éd., Bâle 2017, n. 18 et 19 ad art. 14 ; R. ROTH / L. MOREILLON (éds), Commentaire romand, Code pénal I : art. 1-100 CP , Bâle 2009, n. 26 ad art. 13).</w:t>
      </w:r>
    </w:p>
    <w:p>
      <w:r>
        <w:rPr>
          <w:b/>
        </w:rPr>
        <w:t>E. 3.7</w:t>
      </w:r>
    </w:p>
    <w:p>
      <w:r>
        <w:t>. Par opposition, l'erreur sur l'illicéité (art. 21 CP) vise le cas où l'auteur se trompe sur le caractère illicite de son acte. Pour qu'il y ait erreur sur l'illicéité, il faut que l'auteur ait agi alors qu'il se croyait en droit de le faire. Autrement dit, l'auteur croit que son comportement est visé par un fait justificatif, voire ignore la loi ou méconnaît les normes (J. HURTADO POZO, Droit pénal : partie générale , nouv. éd., Genève/Zurich/Bâle 2008, p. 303). Il pense, à tort, que l'acte concret qu'il commet est conforme au droit. Pour admettre l'erreur sur l'illicéité, il ne suffit pas que l'auteur pense que son comportement n'est pas punissable, ni qu'il ait cru à l'absence d'une sanction (ATF 141 IV 336 consid. 243 p. 343). Lorsque l'erreur sur l'illicéité était évitable, l'auteur sera condamné pour infraction intentionnelle, la peine devant toutefois être atténuée en application de l'art. 48a CP (M. NIGGLI / H. WIPRÄCHTIGER, Basler Kommentar Strafrecht I : Art. 1-110 StGB, Jugendstrafgesetz , 3 e éd., Bâle 2013, n. 24 ad art. 21). Une erreur est évitable lorsque l'auteur a agi alors qu'il avait ou aurait dû avoir des doutes quant à la licéité de son comportement (ATF 129 IV 6 consid. 4.1 p. 18). L'erreur sur l'illicéité n'est cependant pas facilement admise. L'auteur doit établir qu'il avait des raisons " suffisantes " de se croire en droit d'agir. Il ne suffit donc pas que l'auteur estime que sa façon d'agir n'est pas punissable (M. KILLIAS, A. KUHN, N. DONGOIS, Précis de droit pénal général , 4 e éd., Berne 2016, p. 43). Par conséquent, il faut se renseigner auprès d'une autorité compétente, et ceci en tout cas lorsque l'auteur avait lui-même des doutes sur la licéité de son acte et/ou il savait qu'il s'agissait d'un domaine " technique " ou soumis à un régime d'autorisations, tel que la chasse, les douanes, la construction, etc. (ATF 129 IV 6 consid. 4.1 p. 18 et les références citées ; M. KILLIAS et al. , op. cit. , p. 43). Le renseignement ou l'instruction par une autorité compétente est suffisante pour admettre l'erreur sur l'illicéité (ATF 116 IV 56 consid. 3a p. 68 s.).</w:t>
      </w:r>
    </w:p>
    <w:p>
      <w:r>
        <w:rPr>
          <w:b/>
        </w:rPr>
        <w:t>E. 3.8</w:t>
      </w:r>
    </w:p>
    <w:p>
      <w:r>
        <w:t>.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w:t>
      </w:r>
    </w:p>
    <w:p>
      <w:r>
        <w:rPr>
          <w:b/>
        </w:rPr>
        <w:t>E. 3.9</w:t>
      </w:r>
    </w:p>
    <w:p>
      <w:r>
        <w:t>. En l'espèce, il n'est pas contesté que les deux armes de marque C______ et D______ sont des armes de chasse. En tant que telles, elles tombent sous le coup de l'art. 4 al. 1 let. a aLArm. Les armes de chasse ne peuvent pas être considérées comme du matériel de guerre au sens de la loi fédérale sur le matériel de guerre du 13 décembre 1996 (LFMG ; 514.51) et ne constituent pas non plus des biens militaires spécifiques ou à double usage au sens de l'art. 3 aLCB. En revanche, elles sont couvertes par l'annexe 5 ch. 1 de l'aOCB, ainsi que par l'art. 22a al. 1 let. b aLArm. L'intimé a prétendu devant le Tribunal de police et la CPAR avoir souhaité ramener ses armes en Suisse et, partant, avoir été au bénéfice de l'exception de l'art. 13 al. 1 let. h aOCB, couvrant uniquement les exportations de fusils de chasse suivies de réimportation. Ses déclarations sont démenties par les éléments se trouvant au dossier. Au moment de l'audience de première instance, ses deux fusils se trouvaient en effet, et malgré la procédure en cours depuis plus d'une année, toujours en Tunisie. L'intimé a de plus expressément déclaré, à la police, qu'il ne souhaitait pas les ramener, dans la mesure où ils lui permettaient enfin de pratiquer la chasse dans la région qu'il préférait. Il ne démontre ensuite nullement les circonstances qui l'auraient empêché de rapatrier ses armes en 2015, le simple fait d'alléguer qu'un ami policier le lui aurait déconseillé étant insuffisant. Enfin, il a acquis un troisième fusil de chasse en novembre 2015 alors même qu'il a affirmé ne pas pratiquer ce sport en Europe, ne prétendant qu'en appel qu'il se livrait au ball trap en Suisse. Ces trois éléments démontrent son absence d'intention de rapatrier les deux fusils concernés par la présente procédure conduisant à retenir pour établi qu'il comptait au contraire les exporter définitive-ment. Dans la mesure où l'intimé n'avait pas l'intention de rapatrier ses armes à feu, l'exception de l'art. 13 al. 1 let. h aOCB ne lui est pas applicable. Il était dès lors soumis à l'obligation de se procurer un permis d'exportation. L'intimé soutient avoir cru que la carte européenne d'armes à feu lui permettait d'exporter ses fusils de chasse. Il ne saurait être suivi sur ce point s'agissant en effet d'une carte autorisant l'exportation temporaire d'armes dans un Etat Schengen, excluant par-là même une exportation définitive hors de l'espace Schengen. Il ne peut ainsi valablement prétendre avoir méconnu la portée de la carte européenne d'armes à feu et s'être figuré qu'elle correspondait à un permis d'exportation, tout en soutenant avoir exporté les armes en cause avec intention de les ramener et, qui plus est, avoir entrepris des vérifications. Il ne peut dans ces circonstances se prévaloir d'une erreur sur la qualification juridique du permis au sens de l'art. 14 al. 1 let. a aLCB, soit une erreur sur les faits. L'intimé n'a pas entrepris les recherches que l'on pouvait attendre d'un chasseur amateur dans de telles circonstances, en particulier dans le domaine sensible des armes à feu. Il aurait pu prendre la peine de contacter les autorités suisses compétentes en la matière ou encore de se renseigner auprès de l'armurerie G______ SA qui s'était pourtant chargée, à sa place, des démarches administratives pour obtenir la carte européenne d'armes à feu . L'intimé ne pouvait pas se fier aux renseignements obtenus de la part de l'Ambassade tunisienne, au demeurant nullement étayés, dans la mesure où cette autorité n'est pas compétente en la matière, ce qu'il ne pouvait ignorer. Il connaissait la nécessité d'autorisation d'exportation en matière d'armes à feu pour le territoire européen et aurait dû a fortiori vérifier la règlementation s'agissant de le faire hors territoire européen. Enfin, une consultation de l'aOCB mentionnant spécifiquement le cas de fusils de chasse, aurait permis à l'intimé de se rendre compte de la nécessité de l'obtention d'une autorisation d'exportation définitive. L'intimé a finalement prétendu ignorer l'obligation d'une autorisation d'exportation d'armes, ce qui est peu crédible, notamment car au stade de l'appel, il indique avoir attendu sa carte européenne pour exporter, ce qui démontre qu'il savait qu'il ne pouvait le faire sans une quelconque autorisation. Ce comportement lui est imputable à faute. Dans la situation qui lui est la plus favorable, il sera retenu qu'il a agi par négligence, soit sans user des précautions commandées par les circonstances et sa situation personnelle, de sorte qu'il sera reconnu coupable d'exportation d'armes à feu sans permis au sens de l'art. 14 al. 3 aLCB. L'appel du Ministère public sera donc admis dans cette mesure et le jugement entrepris réformé en ce sens.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rPr>
          <w:b/>
        </w:rPr>
        <w:t>E. 4.3</w:t>
      </w:r>
    </w:p>
    <w:p>
      <w:r>
        <w:t>À teneur de l'art. 106 al. 3 CP, l'amende, de même que la peine privative de liberté de substitution, doit être fixée en tenant compte de la situation de l'auteur afin que la peine corresponde à la faute commise.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ad art. 106).</w:t>
      </w:r>
    </w:p>
    <w:p>
      <w:r>
        <w:rPr>
          <w:b/>
        </w:rPr>
        <w:t>E. 4.4</w:t>
      </w:r>
    </w:p>
    <w:p>
      <w:r>
        <w:t>En l'espèce, la faute de l'intimé n'est pas insignifiante, celui-ci ayant omis de prendre contact avec les autorités compétentes en la matière dans un domaine aussi sensible que l'exportation d'armes à feu et s'étant contenté de renseignements dénués de fiabilité. Sa collaboration à la procédure a été bonne. Il a dès le début expliqué les circonstances de l'exportation des fusils de chasse. L'intimé n'a par contre pas véritablement pris conscience de sa faute et du caractère répréhensible de ses actes, puisqu'il a persisté à dire avoir été mal renseigné ou avoir été dans l'impossibilité de rapatrier les armes en raison de circonstances extérieures, tout en n'ayant jamais pris le soin d'obtenir les informations pertinentes au sujet de l'exportation de fusils de chasse, illustrant par-là sa tendance à éviter le contrôle des autorités compétentes. Il a plusieurs antécédents, cependant non spécifiques. L'intimé réalise un revenu mensuel oscillant entre CHF 3'300.- et 3'600.-. En tenant compte, d'une part, des charges déductibles, soit les contributions sociales, les primes d'assurance-maladie et les prestations versées en exécution d'obligations d'assistance familiales, ainsi que, d'autre part, du minimum vital et des poursuites dont il fait l'objet, une amende de CHF 500.- paraît adéquate et conforme à l'art. 47 CP. La peine privative de liberté de substitution est fixée à 5 jours. Enfin, la peine n'étant pas du même genre que celle prononcée par le Ministère public le 9 février 2015, elle ne sera pas complémentaire. Le jugement entrepris sera réformé sur ce point.</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 Selon l'art. 426 al. 1 CPP, le prévenu supporte les frais de la procédure s'il est condamné.</w:t>
      </w:r>
    </w:p>
    <w:p>
      <w:r>
        <w:rPr>
          <w:b/>
        </w:rPr>
        <w:t>E. 5.2</w:t>
      </w:r>
    </w:p>
    <w:p>
      <w:r>
        <w:t>L'appel étant partiellement admis, il convient de mettre à la charge de l'intimé la moitié des frais de la procédure, ceux d'appel comprenant un émolument de CHF 1'500.-, le solde étant laissé à la charge de l'Etat (art. 14 al. 1 let. e règlement fixant le tarif des frais en matière pénale du 22 décembre 2010 [RTFMP ; E 4 10.03]).</w:t>
      </w:r>
    </w:p>
    <w:p>
      <w:r>
        <w:rPr>
          <w:b/>
        </w:rPr>
        <w:t>E. 6</w:t>
      </w:r>
    </w:p>
    <w:p>
      <w:r>
        <w:t>6.1.1. A teneur de l'art. 429 al. 1 let. a CPP, applicable par renvoi de l'art. 436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l'alinéa 2 de cet article, l'autorité pénale examine d'office les prétentions du prévenu et peut enjoindre à celui-ci de les chiffrer et de les justifier. Les démarches superflues, abusives ou excessives ne sont pas indemnisées (cf. ATF 115 IV 156 consid. 2d ; M. NIGGLI / M. HEER / H. WIPRÄCHTIGER, Schweizerische Strafprozessordnung - Jugendstrafprozessordnung , Basler Kommentar StPO/JStPO, 2 e éd Bâle 2014,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 n. 18 et 19 ad art. 429). 6.1.2.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 arrêts du Tribunal fédéral 6B_203/2015 du 16 mars 2016 consid. 1.2 et 6B_77/2013 du 4 mars 2013 consid. 2.4).</w:t>
      </w:r>
    </w:p>
    <w:p>
      <w:r>
        <w:rPr>
          <w:b/>
        </w:rPr>
        <w:t>E. 6.2</w:t>
      </w:r>
    </w:p>
    <w:p>
      <w:r>
        <w:t>L'acquittement partiel de l'intimé lui ouvre le droit à une indemnisation desdits frais. Le recours à un avocat était nécessaire compte tenu de la complexité de la problématique de l'art.169 CP, infraction pour laquelle il a été acquitté, de même que pour sa défense s'agissant de l'exportation de ses armes pour laquelle il se voit condamné en appel. La CPAR estimera le temps consacré à chacune de ces problématiques à la moitié pour chacune. Le tarif horaire demandé de CHF 400.- hors TVA est usuel pour le canton de Genève. 6.3.1. En première instance, l'intimé, note de frais et honoraires à l'appui, a conclu à l'octroi d'une indemnité de CHF 8'100.- pour 18h20 de travail de son conseil à CHF 400.-/h. Au vu de l'acquittement total prononcé, une indemnité lui a été allouée au tarif horaire demandé, réduite toutefois à l'activité nécessaire à sa défense. Ont été considérées comme excessives les durées d'activité consacrées à la préparation de l'audience de jugement et pour la rédaction d'un bordereau de pièces (4h15), dans un dossier censé être bien connu, de même que le montant de CHF 200.- appliqué à chacun des déplacements de l'avocat, réduit aux CHF 50.- appliqués au chef d'étude par comparaison avec la méthode forfaitaire mise en oeuvre dans le cadre de l'assistance judiciaire. A ainsi été concédée en première instance une indemnité de CHF 6'048.-, correspondant à 11h40 d'activité à CHF 400.-/h, plus un forfait de 20% pour la correspondance et les téléphones, soit 2h20, et la TVA. La durée de cette activité ainsi considérée est conforme aux principes susmentionnés. L'indemnité sera par contre réduite de moitié compte tenu au final de la condamnation de l'intimé pour infraction à l'art. 14 al. 3 aLCB de sorte qu'il sera alloué à A______ un montant de CHF 3'024.- à ce titre. 6.3.2. L'indemnité requise pour les frais de défense occasionnés par la procédure d'appel de CHF 2'160.-, correspondant à 5h d'activité au tarif horaire de CHF 400.- plus TVA, est conforme aux principes qui précèdent et sera allouée pour 1/3, soit CHF 720.-, compte tenu de la condamnation de l'appelant pour infraction à l'art. 14 al. 3 aLCB, étant relevé que le retrait partiel de l'appel du Ministère public est intervenu avant la rédaction du mémoire réponse.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