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P/4031/2014 vom 29. Mai 2019</w:t>
      </w:r>
    </w:p>
    <w:p>
      <w:r>
        <w:t>GE Cour de justice, 2019-05-29, FR</w:t>
      </w:r>
    </w:p>
    <w:p>
      <w:r>
        <w:rPr>
          <w:b/>
        </w:rPr>
        <w:t xml:space="preserve">Quelle: </w:t>
      </w:r>
      <w:r>
        <w:t>https://mcp.opencaselaw.ch/entscheid/ge_gerichte_P_4031_2014</w:t>
      </w:r>
    </w:p>
    <w:p>
      <w:r>
        <w:t>FR: GE_GERICHTE P/4031/2014 du 29 mai 2019</w:t>
      </w:r>
    </w:p>
    <w:p>
      <w:r>
        <w:t>IT: GE_GERICHTE P/4031/2014 del 29 maggio 2019</w:t>
      </w:r>
    </w:p>
    <w:p>
      <w:pPr>
        <w:pStyle w:val="Heading2"/>
      </w:pPr>
      <w:r>
        <w:t>Regeste</w:t>
      </w:r>
    </w:p>
    <w:p>
      <w:r>
        <w:t>RÉVOCATION DU SURSIS | LCR.90.al2; LCR.95.al1.letb; LCR.91.al2.leta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(ATF 143 IV 500 consid. 1.1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138 V 74 consid. 7 ; 127 I 38 consid. 2a ; 124 IV 86 consid. 2a ; arrêts du Tribunal fédéral 6B_634/2018 du 22 août 2018 consid. 2.1 ; 6B_1306/2017 du 17 mai 2018 consid. 2.1.1). Il n'y a pas de renversement du fardeau de la preuve lorsque l'accusé refuse sans raison plausible de fournir des explications rendues nécessaires par des preuves à charge. Son silence peut cependant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2.1.2. Le juge dispose d'un large pouvoir dans l'appréciation des preuves (ATF 120 Ia 31 consid. 4b). 2.1.3. Ces principes s'appliquent notamment en matière d'infractions à la circulation routière. La présomption selon laquelle un véhicule automobile est conduit par son détenteur ne constitue, au contraire de la présomption d'innocence, qu'une présomption de fait ou présomption de l'homme. Elle ne renverse ni n'allège le fardeau de la preuve, qui repose entièrement sur l'accusation (arrêt du Tribunal fédéral 6B_748/2009 du 2 novembre 2009 consid. 2.2). Cependant, le tribunal peut conclure dans le cadre de l'appréciation des preuves, sans porter atteinte à la présomption d'innocence, que le détenteur lui-même a conduit le véhicule s'il nie l'acte et garde le silence sur le conducteur éventuel (arrêt du Tribunal fédéral 6B_243/2018 du 6 juillet 2018  consid. 1.4.2). 2.2.1. A teneur de l'art. 90 al. 1 LCR, celui qui viole les règles de la circulation prévues par la LCR ou par les dispositions d'exécution émanant du Conseil fédéral est puni de l'amende. 2.2.2. L'art. 90 al. 2 LCR prévoit que celui qui, par une violation grave d'une règle de la circulation, crée un sérieux danger pour la sécurité d'autrui ou en prend le risque est puni d'une peine privative de liberté de trois ans au plus ou d'une peine pécuniaire.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p. 512 = SJ 2018 I 277 ; ATF 132 II 234 consid. 3.1 p. 237 ss ; ATF 124 II 259 consid. 2b p. 261 ss ; ATF 123 II 106 consid. 2c p. 113 et les références ; arrêts du Tribunal fédéral 6B_444/2016 du 3 avril 2017 consid. 1.1 ; 6B_865/2014 du 2 avril 2015 consid. 1.5). 2.2.3. L'art. 95 al. 1 let. b LCR punit celui qui conduit un véhicule automobile alors que le permis d'élève conducteur ou le permis de conduire lui a été refusé, retiré ou qu'il lui a été interdit d'en faire usage.</w:t>
      </w:r>
    </w:p>
    <w:p>
      <w:r>
        <w:rPr>
          <w:b/>
        </w:rPr>
        <w:t>E. 2.4</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Une révocation du sursis ne se justifie qu'en cas de pronostic défavorable, à savoir lorsque la nouvelle infraction laisse entrevoir une réduction sensible des perspectives de succès de la mise à l'épreuve.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3.2.5. D'après l'art. 49 al. 1 CP, si, en raison d'un ou de plusieurs actes, l'auteur remplit les conditions de plusieurs peines de même genre, le juge le condamne à la peine de l'infraction la plus grave et l'augmente dans une juste proportion. Le juge, dans un premier temps, fixe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3</w:t>
      </w:r>
    </w:p>
    <w:p>
      <w:r>
        <w:t>.1.2.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2ème éd., Bâle 2017, Rem. prél. ad art. 34 à 41, n. 2 ss). En l'espèce, les faits ont été commis avant l'entrée du nouveau droit. L'ancien droit, plus favorable à l'appelant, sera partant appliqué. 3.2.1. Conformément à l'art. 34 aCP, la peine pécuniaire est fixée en jours-amende dont le tribunal fixe le nombre en fonction de la culpabilité de l'auteur (al. 1). Le juge en arrête le montant selon la situation personnelle et économique de l'auteur au moment du jugement, notamment en tenant compte de son revenu et de sa fortune, de son mode de vie, de ses obligations d'assistance, en particulier familiales, et du minimum vital (al. 2). Le Tribunal fédéral a fixé le montant minimal du jour-amende à CHF 10.-, même pour les condamnés bénéficiant d'un faible revenu (ATF 135 IV 180 consid. 1.4.2). Le juge dispose d'un large pouvoir d'appréciation lui permettant de procéder à une estimation du montant du jour-amende en fonction des informations dont il dispose (arrêts du Tribunal fédéral 6B_133/2018 du 27 juillet 2018 consid. 3.1; 6B_568/2012 du 16 novembre 2012 consid. 2.1). 3.2.3. Le juge suspend en règle générale, notamment l'exécution d'une peine pécuniaire, lorsqu'une peine ferme ne paraît pas nécessaire pour détourner l'auteur d'autres crimes ou délits (art. 42 al. 1 aCP).</w:t>
      </w:r>
    </w:p>
    <w:p>
      <w:r>
        <w:rPr>
          <w:b/>
        </w:rPr>
        <w:t>E. 3.3</w:t>
      </w:r>
    </w:p>
    <w:p>
      <w:r>
        <w:t>En l'espèce, l'appelant ne conteste pas en soi le type de la peine infligée, sinon que plaidant son acquittement partiel, il conclut à une diminution de sa quotité et conclut par ailleurs à ce que le montant du jour-amende soit fixé à CHF 10.-. L'appel étant rejeté s'agissant des acquittements plaidés, il apparaît que la quotité de la peine prononcée par le premier juge est proportionnée et conforme au droit. En effet, la faute de l'appelant est importante. Sa collaboration à la procédure a été inexistante s'agissant des infractions reprochées, à l'exception de la conduite en état d'ébriété pour laquelle il lui était difficile de contester les faits. Il n'a exprimé aucune prise de conscience et il y a concours d'infractions. Il en va de même s'agissant du montant du jour-amende. L'appelant, qui dispose d'un diplôme de conducteur de machines automatisées et d'une formation complémentaire et dont le salaire plusieurs années avant ces formations était d'EUR 16'089.-, n'a fourni aucune information permettant de tenir pour établi qu'il a été dans l'impossibilité de reprendre une activité professionnelle après sa dernière formation. Le sursis plaidé ne sera pas accordé. Si l'appelant en remplit les conditions objectives, le pronostic doit cependant être considéré comme défavorable au vu du nombre de nouvelles infractions pour lesquelles la condamnation est aujourd'hui confirmée et de l'absence complète de participation active de l'appelant à sa procédure, qui ne permet pas de retenir une quelconque prise de conscience de la gravité des infractions commises. En revanche, le sursis précédent ne sera pas révoqué compte tenu du caractère ferme de la nouvelle peine prononcée, dont l'effet dissuasif devrait être suffisant à détourner l'appelant de la récidive. Le jugement sera dès lors modifié en ce qu'il ordonnait la révocation du sursis antérieur et confirmé tant en ce qui concerne la quotité de la peine, le montant du jour-amende que l'absence de sursis.</w:t>
      </w:r>
    </w:p>
    <w:p>
      <w:r>
        <w:rPr>
          <w:b/>
        </w:rPr>
        <w:t>E. 4</w:t>
      </w:r>
    </w:p>
    <w:p>
      <w:r>
        <w:t>2. L'appelant, qui succombe en appel à l'exception de ses conclusions relatives à la révocation du sursis et aux frais de première instance très partiellement admises, supportera, à hauteur de 8/10 ème , les frais de la procédure envers l'Etat, lesquels comprennent un émolument de CHF 1'500.- (art. 428 CPP et art. 14 du règlement fixant le tarif des frais en matière pénale du 22 décembre 2010 [RTFMP - E 4 10.03]).</w:t>
      </w:r>
    </w:p>
    <w:p>
      <w:r>
        <w:rPr>
          <w:b/>
        </w:rPr>
        <w:t>E. 5</w:t>
      </w:r>
    </w:p>
    <w:p>
      <w:r>
        <w:t>Considéré globalement, l'état de frais produit par le défenseur de l'appelant paraît adéquat et conforme aux dispositions et principes régissant l'assistance judiciaire pénale. Sa rémunération sera ainsi arrêtée à CHF 1'550.90 pour six heures d'activité au tarif de CHF 200.-/heure plus la majoration forfaitaire de 20% et l'équivalent de la TVA au taux de 7.7% en CHF 110.90.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