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P/3983/2023 vom 7. Dezember 2023</w:t>
      </w:r>
    </w:p>
    <w:p>
      <w:r>
        <w:t>GE Cour de justice, 2023-12-07, FR</w:t>
      </w:r>
    </w:p>
    <w:p>
      <w:r>
        <w:rPr>
          <w:b/>
        </w:rPr>
        <w:t xml:space="preserve">Quelle: </w:t>
      </w:r>
      <w:r>
        <w:t>https://mcp.opencaselaw.ch/entscheid/ge_gerichte_P_3983_2023</w:t>
      </w:r>
    </w:p>
    <w:p>
      <w:r>
        <w:t>FR: GE_GERICHTE P/3983/2023 du 7 décembre 2023</w:t>
      </w:r>
    </w:p>
    <w:p>
      <w:r>
        <w:t>IT: GE_GERICHTE P/3983/2023 del 7 dicembre 2023</w:t>
      </w:r>
    </w:p>
    <w:p>
      <w:pPr>
        <w:pStyle w:val="Heading2"/>
      </w:pPr>
      <w:r>
        <w:t>Regeste</w:t>
      </w:r>
    </w:p>
    <w:p>
      <w:r>
        <w:t>ASSISTANCE JUDICIAIRE;CAS BÉNIN | CPP.136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lui avoir refusé l'assistance d'un conseil juridique gratuit.</w:t>
      </w:r>
    </w:p>
    <w:p>
      <w:r>
        <w:rPr>
          <w:b/>
        </w:rPr>
        <w:t>E. 3.1</w:t>
      </w:r>
    </w:p>
    <w:p>
      <w:r>
        <w:t>À teneur de l'art. 136 al. 1 CPP, dans sa teneur au moment du dépôt de la demande, la direction de la procédure accorde entièrement ou partiellement l'assistance judiciaire à la partie plaignante pour lui permettre de faire valoir ses prétentions civiles lorsqu'elle est indigente (let. a) et que l'action civile ne paraît pas vouée à l'échec (let. b). Cette norme concrétise les conditions d'octroi de l'assistance judiciaire pour la partie plaignante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p. 147, repris dans le Message du 21 décembre 2005 relatif à l'unification de la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w:t>
      </w:r>
    </w:p>
    <w:p>
      <w:r>
        <w:rPr>
          <w:b/>
        </w:rPr>
        <w:t>E. 3.2</w:t>
      </w:r>
    </w:p>
    <w:p>
      <w:r>
        <w:t>En l'espèce, le Ministère public semble admettre que la recourante, partie plaignante, est indigente et ne s'est pas prononcé sur les chances de succès de ses conclusions civiles. Le Procureur considère que les conditions de désignation d'un conseil juridique gratuit ne sont quoiqu'il en soit pas réalisées, faute de complexité de la cause, ce qui suffisait à rejeter la demande. Cette approche est exempte de critique. Les faits reprochés à la prévenue ne revêtent aucune complexité, quand bien même la recourante affirme en avoir souffert psychologiquement. La recourante s'est présentée seule à la police pour les exposer et fournir des pièces justificatives. Lors de l'audience du 17 novembre 2023 devant le Ministère public, où elle a été confrontée à la prévenue, elle a donné des explications complémentaires sur sa plainte pénale et su répondre aux questions qui lui ont été posées. Rien ne permet d'affirmer qu'elle présentait alors des difficultés à saisir les enjeux de la procédure et à prendre position sur celle-ci. La qualification juridique des faits n'apparaît pas complexe non plus et l'instruction de la cause, simple. En réalité la tâche principale de la recourante consistera à annoncer ses prétentions, en étayant son dommage avec des factures médicales et en chiffrant son tort moral. En outre, elle ne démontre pas s'être trouvée dans un état psychologique la distinguant du plaignant ordinaire, non assisté d'un avocat, dans une situation similaire. Par ailleurs, toute procédure pénale, de surcroit dirigée contre un membre de la même famille, implique inévitablement des tensions, et les relations avec sa belle-mère ne paraissent pas former une circonstance extraordinaire. Aucune autre circonstance personnelle n'est propre à modifier ce raisonnement. Dans ces circonstances, il faut retenir que la recourante est capable de sauvegarder seule ses droits de lésée, sans l'assistance d'un conseil juridique gratuit. Le fait que la prévenue bénéficie pour sa part d'une défense d'office n'y change rien, dès lors que les conditions de cette mesure diffèrent de celles de l'assistance juridique pour la partie plaignante ( cf . arrêt du Tribunal fédéral 1B_605/2020 du 21 mars 2021 consid. 2.6) et, surtout, qu'une telle défense se justifie pour d'autres faits que ceux faisant l'objet de la plainte de la recourante.</w:t>
      </w:r>
    </w:p>
    <w:p>
      <w:r>
        <w:rPr>
          <w:b/>
        </w:rPr>
        <w:t>E. 4</w:t>
      </w:r>
    </w:p>
    <w:p>
      <w:r>
        <w:t>Justifiée, l'ordonnance querellée sera donc confirmée.</w:t>
      </w:r>
    </w:p>
    <w:p>
      <w:r>
        <w:rPr>
          <w:b/>
        </w:rPr>
        <w:t>E. 5</w:t>
      </w:r>
    </w:p>
    <w:p>
      <w:r>
        <w:t>Les frais de la procédure de recours seront laissés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