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P/3958/2022 vom 31. März 2022</w:t>
      </w:r>
    </w:p>
    <w:p>
      <w:r>
        <w:t>GE Cour de justice, 2022-03-31, FR</w:t>
      </w:r>
    </w:p>
    <w:p>
      <w:r>
        <w:rPr>
          <w:b/>
        </w:rPr>
        <w:t xml:space="preserve">Quelle: </w:t>
      </w:r>
      <w:r>
        <w:t>https://mcp.opencaselaw.ch/entscheid/ge_gerichte_P_3958_2022</w:t>
      </w:r>
    </w:p>
    <w:p>
      <w:r>
        <w:t>FR: GE_GERICHTE P/3958/2022 du 31 mars 2022</w:t>
      </w:r>
    </w:p>
    <w:p>
      <w:r>
        <w:t>IT: GE_GERICHTE P/3958/2022 del 31 marzo 2022</w:t>
      </w:r>
    </w:p>
    <w:p>
      <w:pPr>
        <w:pStyle w:val="Heading2"/>
      </w:pPr>
      <w:r>
        <w:t>Regeste</w:t>
      </w:r>
    </w:p>
    <w:p>
      <w:r>
        <w:t>ORDONNANCE DE NON-ENTRÉE EN MATIÈRE;DIFFAMATION;E-MAIL | CPP.310; CP.173</w:t>
      </w:r>
    </w:p>
    <w:p>
      <w:pPr>
        <w:pStyle w:val="Heading2"/>
      </w:pPr>
      <w:r>
        <w:t>Erwägungen</w:t>
      </w:r>
    </w:p>
    <w:p>
      <w:r>
        <w:rPr>
          <w:b/>
        </w:rPr>
        <w:t>E. 1</w:t>
      </w:r>
    </w:p>
    <w:p>
      <w:r>
        <w:t>Le recours est recevable pour avoir été déposé selon la forme et dans le délai prescrits (art. 91 al. 4,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Dès lors que la Chambre de céans jouit d'un plein pouvoir de cognition en droit et en fait (art. 393 al. 2 CPP) (ATF 137 I 195 consid. 2.3.2 p. 197; arrêt du Tribunal fédéral 1B_524/2012 du 15 novembre 2012 consid. 2.1), les éventuelles constatations incomplètes ou inexactes du Ministère public auront été corrigées dans l'état de fait établi ci-devant. ![endif]&gt;![if&gt; Partant, le grief y relatif sera rejeté.</w:t>
      </w:r>
    </w:p>
    <w:p>
      <w:r>
        <w:rPr>
          <w:b/>
        </w:rPr>
        <w:t>E. 4</w:t>
      </w:r>
    </w:p>
    <w:p>
      <w:r>
        <w:t>3. La calomnie (art. 174 CP) est une forme qualifiée de diffamation, dont elle se distingue par le fait que les allégations propagées sont fausses (arrêt du Tribunal fédéral 6B_1215/2020 du 22 avril 2021 consid. 3.1). L'honneur protégé par le droit pénal est conçu de façon générale comme un droit au respect, qui est lésé par toute assertion propre à exposer la personne visée au mépris en sa qualité d'homme (ATF 145 IV 462 consid. 4.2.2; arrêt du Tribunal fédéral 6B_1215/2020 du 22 avril 2021 consid. 3.1). Les art. 173 et 174 CP supposent une allégation de fait, et non un simple jugement de valeur (ATF 137 IV 313 consid. 2.1.2 p. 315). Les termes litigieux doivent donc avoir un rapport reconnaissable avec un élément de fait et ne pas être uniquement employés pour exprimer le mépris (arrêt du Tribunal fédéral 6B_512/2017 du 12 février 2018 consid. 3.2).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p. 315 s.). Les mêmes termes n'ont donc pas nécessairement la même portée suivant le contexte dans lequel ils sont employés (ATF 145 IV 462 consid. 4.2.3). Un texte doit être analysé non seulement en fonction des expressions utilisées, prises séparément, mais aussi selon le sens général qui se dégage du texte dans son ensemble (ATF 145 IV 462 consid. 4.2.3 ; 137 IV 313 consid. 2.1.3). Pour qu'il y ait diffamation ou calomnie, il faut encore que le prévenu s'adresse à un tiers. Est en principe considérée comme telle toute personne autre que l'auteur et l’individu visé par les propos litigieux (ATF 145 IV 462 consid 4.3.3 p. 466 et ss). Le fait de s'adresser à un magistrat ou à un fonctionnaire dans l'exercice de ses fonctions n'exclut pas le caractère délictueux de l'acte. Toutefois, il ne saurait y avoir diffamation punissable lorsque celui qui a tenu les propos incriminés était en droit d'agir pour la défense d'intérêts légitimes d'ordre public ou privé (ATF 69 IV 114 ). Ainsi, il est admis que le devoir procédural d'alléguer les faits constitue un devoir de s'exprimer au sens de l'art. 14 CP; une partie, ou son avocat, peut dès lors invoquer cette disposition, à la condition de s'être exprimée de bonne foi, de s'être limitée aux déclarations nécessaires et pertinentes et d'avoir présenté comme telles de simples suppositions (ATF 135 IV 177 consid. 4; 131 IV 154 consid. 1.3.1; 118 IV 248 consid. 2c; 116 IV 211 consid. 4a; B. CORBOZ, Les infractions en droit suisse , vol. I, 3 ème éd., Berne 2010, n. 105-114 ad art. 173). Ce fait justificatif doit en principe être examiné avant la question des preuves libératoires prévues par l'art. 173 ch. 2 CP (ATF 135 IV 177 consid. 4 p. 179).</w:t>
      </w:r>
    </w:p>
    <w:p>
      <w:r>
        <w:rPr>
          <w:b/>
        </w:rPr>
        <w:t>E. 4.1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6B_1279/2018 du 26 mars 2019 consid. 2.1).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w:t>
      </w:r>
    </w:p>
    <w:p>
      <w:r>
        <w:rPr>
          <w:b/>
        </w:rPr>
        <w:t>E. 4.2</w:t>
      </w:r>
    </w:p>
    <w:p>
      <w:r>
        <w:t>Se rend coupable de diffamation (art. 173 al. 1 CP), celui qui, en s'adressant à un tiers, aura accusé une personne ou jeté sur elle le soupçon de tenir une conduite contraire à l'honneur.</w:t>
      </w:r>
    </w:p>
    <w:p>
      <w:r>
        <w:rPr>
          <w:b/>
        </w:rPr>
        <w:t>E. 4.4</w:t>
      </w:r>
    </w:p>
    <w:p>
      <w:r>
        <w:t>En l'espèce, le mis en cause a adressé un courriel au TPAE, à deux fonctionnaires du DIP et à la directrice de l’école privée fréquentée par sa fille, soit à des tiers au sens des art. 173 et ss CP. Dans ce courriel, il affirmait que la recourante était « très manipulatrice », avait posté des vidéos « complotistes » et « conspirationnistes », se sentait « au-dessus de la loi et de tous » ; il estimait en outre « dangereux » de limiter l’éducation de sa fille à la supervision de la recourante et « très dangereux » et incompatible avec l’éducation de sa fille que la recourante arbore un symbole QAnon dans la paume de sa main. Dans la mesure où le mis en cause décrit la recourante comme une personne manipulatrice qui adopte un comportement « dangereux » pour son enfant et dont la conduite serait contraire à la loi , ces propos pourraient a priori être de nature à jeter sur elle le soupçon d’une conduite contraire à l’honneur et porter atteinte à sa considération au sens des art. 173 et ss CP (cf. arrêt du Tribunal fédéral 6B_1215/2020 du 22 avril 2021 consid. 5.3). Cela étant, replacés dans leur contexte, ces propos ont tous été formulés avec une explication. En effet, le terme « manipulatrice » est expliqué par le fait que la recourante aurait convaincu sa fille qu’elle perdait son temps à l’école et n’avait pas à y retourner, explication qui en atténue la portée. De plus, il ne dit aucunement que la recourante serait elle-même dangereuse, c’est bien plutôt la conséquence de ses actes qu’il considérait comme telle. Enfin, l’utilisation de l’expression « au-dessus des lois » est expliquée par le fait que la recourante semblait déterminée à contester les décisions administratives reçues. Il a du reste nuancé ses déclarations ainsi qu'en attestent les termes utilisés : « je suis très inquiet » et « selon moi ». Les explications du mis en cause ayant atténué la signification des termes employés, ces derniers ne revêtent ainsi pas l’intensité suffisante pour être qualifiés d’attentatoires à l’honneur. Par ailleurs, contrairement à ce que soutient la recourante, le mis en cause n’a pas tenu ces propos principalement dans le but de dire du mal d’elle. Sa démarche visait à protéger leur fille en sauvegardant sa scolarisation dans un milieu éducatif – puisqu’elle n’était plus scolarisée –, de sorte qu’on peut retenir que cette démarche reposait sur un intérêt privé suffisant. L’écrit, destiné au TPAE, exposait les raisons pour lesquelles il s’opposait à la scolarisation à domicile de sa fille. C’est en raison des opinions et croyances de la recourante qu’il estimait que l’éducation de l’enfant ne devait pas être limitée à sa supervision exclusive. Le mis en cause a allégué ces propos dans le cadre d'une procédure judiciaire et ceux-ci sont parvenus à la connaissance des membres du tribunal et du DIP, c’est-à-dire d’un nombre restreint de personnes qui étaient informées et conscientes des circonstances particulières dans lesquelles les allégations étaient formulées, soit une situation familiale conflictuelle. Au surplus, ces autorités étaient soumises au secret de fonction. La directrice de l’école privée, à qui l’écrit a été envoyé en copie, fait également partie du cercle de personnes ayant un intérêt à prendre connaissance des raisons pour lesquelles le mis en cause s’opposait à la scolarisation à domicile de sa fille. Au demeurant, pour étayer ses allégations, il s’est fondé sur – et a cité – des informations publiques, soit des coupures de presse et un site internet. Il n’a, ce faisant, pas révélé de faits privés ou intimes. Dans ces circonstances, on peut encore retenir que les déclarations du mis en cause entraient dans le cadre d’allégations nécessaires pour faire valoir son point de vue et n’ont pas excédé la mesure de l'admissible (art. 14 CP). A fortiori , ces propos ne violent pas l’art. 174 CP, cette infraction étant une forme qualifiée de diffamation. C'est donc à bon droit que le Ministère public n'est pas entré en matière sur la plainte pénale.</w:t>
      </w:r>
    </w:p>
    <w:p>
      <w:r>
        <w:rPr>
          <w:b/>
        </w:rPr>
        <w:t>E. 5</w:t>
      </w:r>
    </w:p>
    <w:p>
      <w:r>
        <w:t>Justifiée, l'ordonnance querellée sera donc confirmée.</w:t>
      </w:r>
    </w:p>
    <w:p>
      <w:r>
        <w:rPr>
          <w:b/>
        </w:rPr>
        <w:t>E. 6</w:t>
      </w:r>
    </w:p>
    <w:p>
      <w:r>
        <w:t>La recourante, qui succombe, supportera les frais envers l'État (art. 428 al. 1 CPP et 13 al. 1 du Règlement fixant le tarif des frais en matière pénale, RTFMP ; E 4 10.03), fixés en totalité à CHF 900.-, émolument de décision compris.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