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P/3933/2012 vom 11. April 2012</w:t>
      </w:r>
    </w:p>
    <w:p>
      <w:r>
        <w:t>GE Cour de justice, 2012-04-11, DE</w:t>
      </w:r>
    </w:p>
    <w:p>
      <w:r>
        <w:rPr>
          <w:b/>
        </w:rPr>
        <w:t xml:space="preserve">Quelle: </w:t>
      </w:r>
      <w:r>
        <w:t>https://mcp.opencaselaw.ch/entscheid/ge_gerichte_P_3933_2012</w:t>
      </w:r>
    </w:p>
    <w:p>
      <w:r>
        <w:t>FR: GE_GERICHTE P/3933/2012 du 11 avril 2012</w:t>
      </w:r>
    </w:p>
    <w:p>
      <w:r>
        <w:t>IT: GE_GERICHTE P/3933/2012 del 11 aprile 2012</w:t>
      </w:r>
    </w:p>
    <w:p>
      <w:pPr>
        <w:pStyle w:val="Heading2"/>
      </w:pPr>
      <w:r>
        <w:t>Regeste</w:t>
      </w:r>
    </w:p>
    <w:p>
      <w:r>
        <w:t>; DÉTENTION PROVISOIRE ; COMMERCE DE STUPÉFIANTS ; SOUPÇON ; RISQUE DE FUITE ; RISQUE DE COLLUSION | CPP. 221</w:t>
      </w:r>
    </w:p>
    <w:p>
      <w:pPr>
        <w:pStyle w:val="Heading2"/>
      </w:pPr>
      <w:r>
        <w:t>Volltext</w:t>
      </w:r>
    </w:p>
    <w:p>
      <w:r>
        <w:t>Genève Cour de Justice (Cour pénale) Chambre pénale de recours 11.04.2012 P/3933/2012</w:t>
      </w:r>
    </w:p>
    <w:p>
      <w:r>
        <w:t>; DÉTENTION PROVISOIRE ; COMMERCE DE STUPÉFIANTS ; SOUPÇON ; RISQUE DE FUITE ; RISQUE DE COLLUSION | CPP. 221</w:t>
      </w:r>
    </w:p>
    <w:p>
      <w:r>
        <w:t>P/3933/2012 ACPR/145/2012 (3) du 11.04.2012 ( MP ) , REFUS Descripteurs : ; DÉTENTION PROVISOIRE ; COMMERCE DE STUPÉFIANTS ; SOUPÇON ; RISQUE DE FUITE ; RISQUE DE COLLUSION Normes : CPP. 221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