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P/3925/2022 vom 9. November 2022</w:t>
      </w:r>
    </w:p>
    <w:p>
      <w:r>
        <w:t>GE Cour de justice, 2022-11-09, FR</w:t>
      </w:r>
    </w:p>
    <w:p>
      <w:r>
        <w:rPr>
          <w:b/>
        </w:rPr>
        <w:t xml:space="preserve">Quelle: </w:t>
      </w:r>
      <w:r>
        <w:t>https://mcp.opencaselaw.ch/entscheid/ge_gerichte_P_3925_2022</w:t>
      </w:r>
    </w:p>
    <w:p>
      <w:r>
        <w:t>FR: GE_GERICHTE P/3925/2022 du 9 novembre 2022</w:t>
      </w:r>
    </w:p>
    <w:p>
      <w:r>
        <w:t>IT: GE_GERICHTE P/3925/2022 del 9 novembre 2022</w:t>
      </w:r>
    </w:p>
    <w:p>
      <w:pPr>
        <w:pStyle w:val="Heading2"/>
      </w:pPr>
      <w:r>
        <w:t>Regeste</w:t>
      </w:r>
    </w:p>
    <w:p>
      <w:r>
        <w:t>DÉFENSE D'OFFICE | CPP.132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1.2</w:t>
      </w:r>
    </w:p>
    <w:p>
      <w:r>
        <w:t>Les pièces produites à l'appui du recours sont également recevables, la jurisprudence admettant la production de faits et de moyens de preuve nouveaux devant l'instance de recours, que le recourant ait été en mesure de les produire en première instance ou non (arrêts du Tribunal fédéral 1B_368/2014 du 5 février 2015, consid. 3.1 et 3.2 et 1B_768/2012 du 15 janvier 2013, consid. 2.1).</w:t>
      </w:r>
    </w:p>
    <w:p>
      <w:r>
        <w:rPr>
          <w:b/>
        </w:rPr>
        <w:t>E. 2</w:t>
      </w:r>
    </w:p>
    <w:p>
      <w:r>
        <w:t>Le recourant reproche au Ministère public de ne pas lui avoir accordé une défense d'office. ![endif]&gt;![if&gt;</w:t>
      </w:r>
    </w:p>
    <w:p>
      <w:r>
        <w:rPr>
          <w:b/>
        </w:rPr>
        <w:t>E. 2.1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1B_12/2020 du 24 janvier 2020 consid. 3.1; 1B_374/2018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p. 174; arrêt du Tribunal fédéral 1B 360/2020 du 4 septembre 2020 consid. 2.1).</w:t>
      </w:r>
    </w:p>
    <w:p>
      <w:r>
        <w:rPr>
          <w:b/>
        </w:rPr>
        <w:t>E.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du Tribunal fédéral 1B_494/2019 du 20 décembre 2019 consid. 3.1 et les arrêts cités).</w:t>
      </w:r>
    </w:p>
    <w:p>
      <w:r>
        <w:rPr>
          <w:b/>
        </w:rPr>
        <w:t>E. 2.3</w:t>
      </w:r>
    </w:p>
    <w:p>
      <w:r>
        <w:t>En l'espèce, l'indigence du recourant est établie à teneur du rapport de l'Assistance judiciaire. La procédure initialement ouverte pour voies de fait contre l'épouse du recourant, et que le Procureur entendait clore par ordonnance pénale, a été étendue à deux reprises à des infractions d'injures, menaces et voies de fait et ensuite de lésions corporelles simples. L'épouse du recourant, se fondant sur la procédure pénale, a obtenu du TAPI la prolongation de la mesure d'éloignement, et ensuite le prononcé de MPUC superprovisionnelles faisant interdiction au recourant notamment de s'approcher du domicile conjugal. Cette dernière a en outre conclu, sur mesures provisionnelles, à avoir la garde des enfants. Enfin, le TPAE serait saisi d'une procédure de curatelle. Face à cette multiplication de procédures – au centre desquelles se jouent notamment les relations du recourant avec ses enfants (droit de garde, visite) – et le fait que son épouse soit assistée d'un avocat nommé d'office, les enjeux de la procédure pénale sont particulièrement importants et présentent des difficultés que le recourant seul ne pourrait surmonter, au sens de l'art. 132 al. 2 CPP. Compte tenu de ce qui précède, il se justifie de mettre le recourant au bénéfice d'une défense d'office, au jour du dépôt de la demande.</w:t>
      </w:r>
    </w:p>
    <w:p>
      <w:r>
        <w:rPr>
          <w:b/>
        </w:rPr>
        <w:t>E. 3</w:t>
      </w:r>
    </w:p>
    <w:p>
      <w:r>
        <w:t>Le recours est admis; partant, l'ordonnance querellée sera annulée. La défense d'office du recourant sera admise à compter du 21 juin 2022 et M e B______ désigné à cette effet. ![endif]&gt;![if&gt;</w:t>
      </w:r>
    </w:p>
    <w:p>
      <w:r>
        <w:rPr>
          <w:b/>
        </w:rPr>
        <w:t>E. 4</w:t>
      </w:r>
    </w:p>
    <w:p>
      <w:r>
        <w:t>La procédure est gratuite (art. 20 RAJ). ![endif]&gt;![if&gt;</w:t>
      </w:r>
    </w:p>
    <w:p>
      <w:r>
        <w:rPr>
          <w:b/>
        </w:rPr>
        <w:t>E. 5</w:t>
      </w:r>
    </w:p>
    <w:p>
      <w:r>
        <w:t>L'indemnité du défenseur d'office nouvellement désigné sera fixée à la fin de la procédure (art. 135 al. 2 CPP).![endif]&gt;![if&gt;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