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P/3902/2019 vom 3. April 2019</w:t>
      </w:r>
    </w:p>
    <w:p>
      <w:r>
        <w:t>GE Cour de justice, 2019-04-03, FR</w:t>
      </w:r>
    </w:p>
    <w:p>
      <w:r>
        <w:rPr>
          <w:b/>
        </w:rPr>
        <w:t xml:space="preserve">Quelle: </w:t>
      </w:r>
      <w:r>
        <w:t>https://mcp.opencaselaw.ch/entscheid/ge_gerichte_P_3902_2019</w:t>
      </w:r>
    </w:p>
    <w:p>
      <w:r>
        <w:t>FR: GE_GERICHTE P/3902/2019 du 3 avril 2019</w:t>
      </w:r>
    </w:p>
    <w:p>
      <w:r>
        <w:t>IT: GE_GERICHTE P/3902/2019 del 3 aprile 2019</w:t>
      </w:r>
    </w:p>
    <w:p>
      <w:pPr>
        <w:pStyle w:val="Heading2"/>
      </w:pPr>
      <w:r>
        <w:t>Regeste</w:t>
      </w:r>
    </w:p>
    <w:p>
      <w:r>
        <w:t>QUALITÉ POUR AGIR ET RECOURIR;ACCÈS INDU À UN SYSTÈME INFORMATIQUE;RÉSEAU SOCIAL;INFRACTIONS CONTRE LE DOMAINE SECRET | CPP.118; CPP.115; CPP.1432; CPP.310; cp.1799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recourant reproche au Ministère public de ne pas être entré en matière sur l'infraction de l'art. 179 novies CP. 3.1.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3.2. L'art. 179 novies CP punit, sur plainte, celui qui aura soustrait d'un fichier des données personnelles sensibles ou des profils de la personnalité qui ne sont pas librement accessibles. Cette disposition protège les personnes auxquelles se rapportent les informations contenues dans un fichier (B. CORBOZ, Les infractions en droit suisse , Vol. I, Berne 2010, n. 1 ad art. 179 novies ). Par données personnelles, on entend toutes les informations qui se rapportent à une personne identifiée ou identifiable (art. 3 let. a LPD). Les données sensibles concernent les opinions ou les activités religieuses, philosophiques, politiques ou syndicales, la santé, la sphère intime, l'appartenance à une race, les mesures d'aide sociale, les poursuites ainsi que les sanctions pénales ou administratives (art. 3 let. c LPD) (M. DUPUIS / L. MOREILLON / C. PIGUET / S. BERGER / M. MAZOU / V. RODIGARI (éds), Petit commentaire du CP, Bâle 2017, N. 5 et 7 ad art. 179 novies et les références citées). L'auteur ne doit pas avoir le droit d'accéder à ces données, qui doivent être protégées contre un accès indu (B. CORBOZ, op. cit. , n. 8 ad art. 179 novies ). La notion de soustraction est la même qu'à l'art. 143 CP, auquel il peut être renvoyé, en précisant qu'une simple vision suffit, pour autant qu'elle permette effectivement " d'emporter la donnée avec soi ", autrement dit une utilisation ultérieure (M. DUPUIS / L. MOREILLON / C. PIGUET / S. BERGER / M. MAZOU / V. RODIGARI (éds), op. cit., Bâle 2017, N. 11 ad art. 179 novies et les références citées). Il n'est pas nécessaire que les données soient secrètes (S. TRECHSEL / M. PIETH (éd.), Schweizerisches Strafgesetzbuch : Praxiskommentar , 2e éd., Zurich 2012, n. 5 ss ad art. 179 novies ; M. NIGGLI / H. WIPRÄCHTIGER, Basler Kommentar Strafrecht II : Art. 111-392 StGB, 3e éd., Bâle 2013, n. 20 ad art. 179 novies ). 3.3. En l'espèce, le recourant a publié les photographies litigieuses sur son compte E______ [réseau social] dont l'accès, privé, était réservé à ses seuls " abonnés ", parmi lesquels figurait son fils C______. Son ex-épouse les a produites à l'appui d'une écriture dans le cadre de la procédure civile qui l'oppose au recourant. Ce dernier invoque une soustraction non autorisée, par son ex-épouse, au sens de l'art. 179 novies CP, de ses " donnée sensibles ". La mise en cause explique, quant à elle, que ces photographies lui ont été montrées, puis transmises, par leur fils C______, de sorte qu'elle n'aurait pas commis d'infraction pénale. Le recourant doute que son fils, âgé de 11 ans, ait librement transmis ces photographies à sa mère et soupçonne au contraire celle-ci de s'être introduite à l'insu de leur fils sur le compte E______ [réseau social] de ce dernier pour s'approprier sans droit lesdites images. La question de savoir si les photographies du recourant, montrant celui-ci lors de ses diverses activités et voyages, publiées par l'intéressé sur son compte E______ [réseau social], sont des données personnelles sensibles au sens de la disposition précitée, peut demeurer indécise, compte tenu de ce qui suit. L'explication de la mise en cause selon laquelle son fils lui aurait montré les photographies publiées sur le compte E______ [réseau social] de son père apparaît tout à fait plausible. De même, l'hypothèse selon laquelle son fils les lui aurait ensuite transmises - procédé qui ne demande qu'une simple manipulation -, apparaît également plausible, de sorte que les dénégations du recourant n'emportent pas conviction. En particulier, le fait que son fils ait demandé une invitation, sur E______ [réseau social], à l'une de ses relations professionnelles, même établie en Russie, ne paraît ni extraordinaire, dans le domaine des réseaux sociaux, ni n'établit, en soi, que la mise en cause aurait obtenu les photographies litigieuses au moyen d'une soustraction au sens de l'art. 179 novies CP. Au demeurant, le recourant n'explique pas quels actes d'instruction seraient selon lui de nature à établir la commission de l'infraction qu'il soupçonne et ne propose, à bon escient, pas l'audition de son fils, mineur. Partant, peu importe que le Ministère public ait retenu par erreur que les clichés litigieux avaient été " transmis " par le recourant à son fils, ce dernier, qui y avait accès par son compte E______ [réseau social], les ayant quoi qu'il en soit obtenus en toute légitimité.</w:t>
      </w:r>
    </w:p>
    <w:p>
      <w:r>
        <w:rPr>
          <w:b/>
        </w:rPr>
        <w:t>E. 2.1</w:t>
      </w:r>
    </w:p>
    <w:p>
      <w:r>
        <w:t>Si le recours a été déposé selon les forme et - faute de notification conforme à l'art. 85 al. 2 CPP - délai prescrits (art. 396 al. 1 CPP), encore faut-il que le recourant ait un intérêt juridiquement protégé à l'annulation ou à la modification de la décision attaquée (art. 382 al. 1 CPP).</w:t>
      </w:r>
    </w:p>
    <w:p>
      <w:r>
        <w:rPr>
          <w:b/>
        </w:rPr>
        <w:t>E. 2.2</w:t>
      </w:r>
    </w:p>
    <w:p>
      <w:r>
        <w:t>Seule une partie qui a un intérêt juridiquement protégé à l'annulation ou à la modification d'une décision a qualité pour recourir contre celle-ci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Les droits touchés sont les biens juridiques individuels tels que la vie et l'intégrité corporelle, la propriété, l'honneur, etc. (ATF 141 IV 1 consid. 3.1 p. 5).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Les personnes subissant un préjudice indirect n'ont donc pas le statut de lésé et sont des tiers n'ayant pas accès au statut de partie à la procédure (arrêt 1B_191/2014 du 14 août 2014 consid. 3.1).</w:t>
      </w:r>
    </w:p>
    <w:p>
      <w:r>
        <w:rPr>
          <w:b/>
        </w:rPr>
        <w:t>E. 2.3</w:t>
      </w:r>
    </w:p>
    <w:p>
      <w:r>
        <w:t>Selon l'art. 143 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L'art. 143 bis CP est la norme qui, en droit pénal suisse, définit et réprime le " hacking ", à savoir l'accès indu à un système informatique. Contrairement à l'art. 143 CP, l'art. 143 bis CP protège non pas les données elles-mêmes, mais bien le système au sein duquel elles sont traitées (G. MONNIER, Le piratage informatique en droit pénal , in sic! - Revue du droit de la propriété intellectuelle, de l'information et de la concurrence, 2009, p. 141). L'accès indu à un système informatique peut être considéré comme l'équivalent informatique de la violation de domicile (FF 1991 II 933 , 979). Pour que l'infraction soit réalisée, il faut être en présence de trois conditions, soit un accès à un système informatique, appartenant à autrui et spécialement protégé, qui soit indu et intentionnel (S. METILLE / J. AESCHLIMANN, Infrastructures et données informatiques: quelle protection au regard du code pénal suisse? , in Revue pénale suisse, 2014, vol. 132, p. 283/297).</w:t>
      </w:r>
    </w:p>
    <w:p>
      <w:r>
        <w:rPr>
          <w:b/>
        </w:rPr>
        <w:t>E. 2.4</w:t>
      </w:r>
    </w:p>
    <w:p>
      <w:r>
        <w:t>En l'espèce, le recourant soupçonne son ex-épouse d'avoir accédé indument au compte E______ [réseau social] de leur fils. Toutefois, conformément à la jurisprudence précitée, dans la mesure où le recourant n'est pas titulaire du bien juridiquement protégé par l'art. 143 bis CP, celui-ci ne dispose pas de la qualité pour agir, réservée au titulaire du compte E______ [réseau social] en cause, soit à C______ (art. 30 al. 3 CP). Or, le recourant n'allègue pas agir pour le compte de son fils et rien dans le dossier ne permet de retenir que le compte E______ [réseau social] aurait été utilisé, par la mise en cause, sans l'accord de l'enfant.</w:t>
      </w:r>
    </w:p>
    <w:p>
      <w:r>
        <w:rPr>
          <w:b/>
        </w:rPr>
        <w:t>E. 2.5</w:t>
      </w:r>
    </w:p>
    <w:p>
      <w:r>
        <w:t>Le recours sera ainsi déclaré irrecevable sur ce point.</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