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P/3882/2018 vom 7. Februar 2019</w:t>
      </w:r>
    </w:p>
    <w:p>
      <w:r>
        <w:t>GE Cour de justice, 2019-02-07, FR</w:t>
      </w:r>
    </w:p>
    <w:p>
      <w:r>
        <w:rPr>
          <w:b/>
        </w:rPr>
        <w:t xml:space="preserve">Quelle: </w:t>
      </w:r>
      <w:r>
        <w:t>https://mcp.opencaselaw.ch/entscheid/ge_gerichte_P_3882_2018</w:t>
      </w:r>
    </w:p>
    <w:p>
      <w:r>
        <w:t>FR: GE_GERICHTE P/3882/2018 du 7 février 2019</w:t>
      </w:r>
    </w:p>
    <w:p>
      <w:r>
        <w:t>IT: GE_GERICHTE P/3882/2018 del 7 febbraio 2019</w:t>
      </w:r>
    </w:p>
    <w:p>
      <w:pPr>
        <w:pStyle w:val="Heading2"/>
      </w:pPr>
      <w:r>
        <w:t>Regeste</w:t>
      </w:r>
    </w:p>
    <w:p>
      <w:r>
        <w:t>CONTRAVENTION ; AMENDE ; POUVOIR D'EXAMEN LIMITÉ | LOJ.129.al4; CPP.398.al4; LCR.90.al1</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L'appelant a pu pleinement exercer son droit d'être entendu, par ses écritures des 17 décembre 2018 et 2 janvier 2019, puis encore sa réplique reçue le 4 février suivant, développant certes avec concision, mais tout fait clairement deux griefs, soit qu'il n'était plus l'employé du détenteur du véhicule au moment où il a été désigné comme en ayant été le conducteur et que ladite société, avec laquelle il avait un litige, n'existerait plus . Un " échange " supplémentaire n'est nullement nécessaire,</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Selon la jurisprudence, une décision n'est pas arbitraire du seul fait qu'elle apparaît discutable ou même critiquable; il faut qu'elle soit manifestement insoutenable, et cela non seulement dans sa motivation mais aussi dans son résultat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2.2</w:t>
      </w:r>
    </w:p>
    <w:p>
      <w:r>
        <w:t>A teneur de l'art. 90 al. 1 LCR, les violations simples des règles de la circulation routière sont punies de l'amende. 2.3.1. En l'espèce, le premier juge a tenu pour établi que le véhicule D______ contrevenant était bien, au moment des infractions reprochées, conduit par l'appelant. Pour cela, il s'est fondé sur les constats de police, les données issues des contrôles effectués au moyen d'appareils radar et sur les éléments fournis par la société E______, détentrice du véhicule et ex-employeuse de l'appelant. En effet, cette dernière, après réception des amendes d'ordre à son attention, a fait savoir au SDC que le conducteur lors des faits reprochés était l'appelant. Elle a également fourni un tableau Excel reprenant le planning des déplacements professionnels de ce dernier, duquel il ressort qu'entre le 11 et le 19 février 2017, il conduisait le véhicule contrevenant aux heures où celui-ci a été constaté en infraction, soit au moment de la commission de 18 des 20 infractions retenues. Pour celles ayant eu lieu les 5 et 26 février 2017, qui ne ressortent pas du tableau Excel, E______ a confirmé à plusieurs reprises que c'était bien l'appelant qui effectuait là encore des courses avec le véhicule incriminé. Il sera de plus relevé que ces deux infractions ont été verbalisées à la hauteur de la route de ______, comme cela a été le cas à sept autres reprises, ce chemin ayant été emprunté régulièrement par le véhicule D______ pour se rendre auprès des mêmes clients. La Cour n'a aucune raison de douter de la crédibilité des affirmations de E______. La thèse d'une dénonciation nourrie par une volonté délibérée de nuire à l'appelant du fait d'un litige entre les parties n'est soutenue par aucun élément au dossier et pas même véritablement développée par l'appelant. A l'inverse, la crédibilité de ce dernier a elle été sérieusement entachée, puisqu'il n'a pas hésité à mentir aux autorités judiciaires afin d'excuser ses absences, produisant pour se faire une fausse attestation de déplacement professionnel. C'est uniquement à la suite de l'appel du greffe du tribunal à son employeur qu'il a été contraint d'admettre la supercherie. Surtout, l'appelant n'a jamais contesté avoir conduit le véhicule incriminé au moment des faits reprochés dans les différentes ordonnances querellées. Il a même, à plusieurs reprises, demandé à obtenir un échelonnement pour le paiement des amendes et dit vouloir les régler afin que tout rentre dans l'ordre, sans jamais avancer qu'il n'était pas le conducteur concerné. L'appelant s'est contenté d'expliquer que E______ et lui s'opposaient dans le cadre d'un litige prudhommal, qu'il n'était plus employé de cette société depuis la fin mars 2017, que celle-ci avait cessé toute activité et que partant les contraventions liées aux ordonnances pénales discutées ne pouvaient plus lui être opposées. Cet argument tombe à faux. En effet, l'appelant semble à tort considérer le fait d'être employé de E______ et l'existence actuelle de cette société comme étant des conditions nécessaires à sa culpabilité, alors que seul le fait qu'il se soit trouvé au volant du véhicule contrevenant au moment des infractions est ici pertinent. Par conséquent, la conclusion du premier juge, lequel a retenu, sur la base des éléments au dossier, que le véhicule D______ était, au moment des 20 infractions constatées, conduit par l'appelant, n'a rien d'insoutenable et échappe au grief d'arbitraire. Il sera ainsi confirmé que c'est bien l'appelant qui a circulé au volant du véhicule incriminé dans les circonstances décrites dans les ordonnances pénales entreprises. 2.3.2. A raison l'intéressé ne conteste pas que ces comportements étaient contraires aux art. 27 al. 1 et 32 LCR ; 4a al. 1 et 5 de l'ordonnance sur les règles de la circulation routière du 13 novembre 1962 (OCR - RS 741.11) ; 22 al. 1, 22a, 22b al. 2, 22c al. 1, 68 et 69 al. 3 de l'ordonnance sur la signalisation routière du 5 septembre 1979 (OSR - RS 741.21), d'où des violations simples des règles de la circulation routière (art. 90 al. 1 LCR). 2.3.3. L'appel doit donc être rejeté.</w:t>
      </w:r>
    </w:p>
    <w:p>
      <w:r>
        <w:rPr>
          <w:b/>
        </w:rPr>
        <w:t>E. 3</w:t>
      </w:r>
    </w:p>
    <w:p>
      <w:r>
        <w:t>L'appelant ne critiquant à juste titre pas le montant des amendes fixées par le premier juge ou la quotité de la peine privative de liberté de substitution, il sera renvoyé aux considérants du jugement entrepris (art. 82 al. 4 CPP ; ATF 141 IV 244 consid. 1.2.3 ; arrêt du Tribunal fédéral 6B_1043/2016 du 19 juillet 2017 consid. 1.2).</w:t>
      </w:r>
    </w:p>
    <w:p>
      <w:r>
        <w:rPr>
          <w:b/>
        </w:rPr>
        <w:t>E. 4</w:t>
      </w:r>
    </w:p>
    <w:p>
      <w:r>
        <w:t>L'appelant, qui succombe, supportera les frais de la procédure envers l'Etat (art. 428 CPP), comprenant un émolument de CHF 800.-. * * * * * PAR CES MOTIFS, LA PRESIDENTE DE LA CHAMBRE PENALE D'APPEL ET DE REVISION: Reçoit l'appel formé par A______ contre le jugement JTDP/1319/2018 rendu le 12 octobre 2018 par le Tribunal de police dans la procédure P/3882/2018. Le rejette. Condamne A______ aux frais de la procédure d'appel, qui comprennent un émolument de CHF 800.-. Notifie le présent arrêt aux parties. Le communique, pour information, au Tribunal de police, à l'Office cantonal de la population et des migrations, au Service cantonal des véhicules et au Service de l'application des peines et mesures.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P/3882/2018 ÉTAT DE FRAIS AARP/92/2019 COUR DE JUSTICE Selon les art. 4 et 14 du règlement du 22 décembre 2010 fixant le tarif des frais et dépens en matière pénale (E 4 10.03). Total des frais de procédure du Tribunal de police : CHF 1'308.00 Bordereau de frais de la Chambre pénale d'appel et de révision Délivrance de copies et photocopies (let. a, b et c) CHF 00.00 Mandats de comparution, avis d'audience et divers (let. i) CHF 100.00 Procès-verbal (let. f) CHF 00.00 État de frais CHF 75.00 Émolument de décision CHF 800.00 Total des frais de la procédure d'appel : (Pour calculer : cliquer avec bouton de droite sur le montant total puis sur « mettre à jour les champs » ou cliquer sur le montant total et sur la touche F9) CHF 975.00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2'283.00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