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P/3866/2020 vom 18. April 2024</w:t>
      </w:r>
    </w:p>
    <w:p>
      <w:r>
        <w:t>GE Cour de justice, 2024-04-18, FR</w:t>
      </w:r>
    </w:p>
    <w:p>
      <w:r>
        <w:rPr>
          <w:b/>
        </w:rPr>
        <w:t xml:space="preserve">Quelle: </w:t>
      </w:r>
      <w:r>
        <w:t>https://mcp.opencaselaw.ch/entscheid/ge_gerichte_P_3866_2020</w:t>
      </w:r>
    </w:p>
    <w:p>
      <w:r>
        <w:t>FR: GE_GERICHTE P/3866/2020 du 18 avril 2024</w:t>
      </w:r>
    </w:p>
    <w:p>
      <w:r>
        <w:t>IT: GE_GERICHTE P/3866/2020 del 18 aprile 2024</w:t>
      </w:r>
    </w:p>
    <w:p>
      <w:pPr>
        <w:pStyle w:val="Heading2"/>
      </w:pPr>
      <w:r>
        <w:t>Regeste</w:t>
      </w:r>
    </w:p>
    <w:p>
      <w:r>
        <w:t>CPP.386.al2; CPP.388.al2.leta; CPP.428.al1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(Cst.), 14 par. 2 Pacte ONU II et 6 par. 2 de la convention de sauvegarde des droits de l'homme et des libertés fondamentales (CEDH), ainsi que son corollaire, le principe in dubio pro reo, concernent tant le fardeau de la preuve que l'appréciation des preuves au sens large.</w:t>
      </w:r>
    </w:p>
    <w:p>
      <w:r>
        <w:rPr>
          <w:b/>
        </w:rPr>
        <w:t>E. 2.2</w:t>
      </w:r>
    </w:p>
    <w:p>
      <w:r>
        <w:t>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2.3.1. Selon l'art. 261 bis CP dans sa teneur jusqu'au 30 juin 2020, est punissable celui qui, publiquement, incite à la haine ou à la discrimination envers une personne ou un groupe de personnes en raison de leur appartenance raciale, ethnique ou religieuse (al. 1), propage une idéologie visant à rabaisser ou à dénigrer de façon systématique cette personne ou ce groupe de personnes (al. 2), organise ou encourage, dans le même dessein, des actions de propagande ou y prend part (al. 3), abaisse ou discrimine, par la parole, l’écriture, l’image, le geste, des voies de fait ou de toute autre manière, d’une façon qui porte atteinte à la dignité humaine une personne ou un groupe de personnes en raison de leur appartenance raciale, ethnique ou religieuse ou qui, pour la même raison, nie, minimise grossièrement ou cherche à justifier un génocide ou d’autres crimes contre l’humanité (al. 4), ou qui refuse à une personne ou à un groupe de personnes, en raison de leur appartenance raciale, ethnique ou religieuse, une prestation destinée à l’usage public (al. 5). 2.3.2. Les alinéas 1 à 3 de l'art. 261 bis CP visent l'agitation raciale ; il s'agit d'appels qui s'adressent à un nombre indéterminé de personnes, mais qui peuvent avoir pour but l'excitation publique envers une ou plusieurs personnes. Les alinéas 4 à 5 concernent quant à eux de véritables attaques ayant pour motif la discrimination raciale et qui sont donc dirigées directement contre un ou plusieurs membres du groupe visé, le seul fait que l'auteur se soit adressé à des tiers et non aux personnes visées ne suffisant pas à exclure l'application de l'art. 261 bis al. 4 CP (ATF 126 IV 20 consid. 1.a à 1.c). 2.3.3. Pour toutes les infractions réprimées par l'art. 261 bis CP, l'auteur doit agir publiquement, ce qui suppose qu'il s'adresse à un large cercle de destinataires déterminés ou qu'il s'exprime de manière telle qu'un cercle indéterminé de personnes peuvent prendre connaissance de son message (ATF 130 IV 111 consid. 3.1 ; ATF 126 IV 20 consid. 1 c ; ATF 126 IV 176 consid. 2b ; ATF 126 IV 230 consid. 2b/aa ; ATF 124 IV 121 consid. 2b ; ATF 123 IV 202 consid. 3d). Sont prononcées publiquement, au sens de cette disposition, les allégations qui n'interviennent pas dans un cadre privé, soit dans un cercle familial ou d'amis ou dans un environnement de relations personnelles ou empreint d'une confiance particulière (ATF 143 IV 308 consid. 5.1). 2.3.4. Par " idéologie " (al. 2), on entend toute expression structurée de la pensée (M. DUPUIS / B. GELLER / G. MONNIER / L. MOREILLON / C. PIGUET / C. BETTEX / D. STOLL (éds), Code pénal, Petit commentaire, Bâle 2012, n. 35 ad art. 261 bis ; cf. M. NIGGLI, op. cit., nos 1124 ss). Par rapport à l'alinéa 1 de l'art. 261 bis CP, les idées supposent plus d'efforts intellectuels et de subtilité (ATF 123 IV 202 consid. 3b ; arrêt du Tribunal fédéral 6S_719/1999 du 22 mars 2000 consid. 3.d). Il convient néanmoins d'appliquer une conception relativement large de l’idéologie (arrêt du Tribunal fédéral 6S_719/1999 du 22 mars 2000 consid. 3.d.bb), qui doit viser à rabaisser ou à dénigrer de façon systématique les membres d'une race, d'une ethnie ou d'une religion ; il s'agit donc, en s'adressant à des tiers, de développer des idées méprisantes sur une ethnie, une race ou une religion et d'inciter ainsi à la haine ou à la discrimination (ATF 124 IV 121 consid. 2b ; B. CORBOZ, Les infractions en droit suisse, vol. II, 3 ème éd., Berne 2010, n. 24-25 ad art. 261 bis CP; arrêt du Tribunal fédéral 6S_719/1999 du 22 mars 2000 consid. 3.d). L'affirmation de l'infériorité, ou de la supériorité, d'un groupe spécifique relève du droit pénal seulement lorsque la position d'égalité de droit et de valeur d'un homme est remise en question. Il s'agit de définir quelles conséquences un public moyen tire des différences affirmées. Pour exemple, le fascisme (supériorité de la " race " blanche, infériorité des autres groupes) induit – implicitement – pour le destinataire moyen, l'affirmation de l'accès limité ou interdit aux droits de l'homme pour les autres groupes (M. NIGGLI, op. cit., nos 1137 ss). En somme, le terme " rabaisser " (al. 2) désigne toutes les idéologies qui affirment, explicitement ou implicitement, l'infériorité d'un groupe spécifique et lui dénie – ou lui limite –, par conséquent, l'accès aux droits fondamentaux (M. NIGGLI, op. cit., no 1163). Quant au terme " dénigrer " (al. 2), il permet d'étendre la répression de toute idéologie empreinte de mauvaise foi et cherchant délibérément à donner une image négative d'un groupe racial, ethnique ou religieux (M. DUPUIS / B. GELLER / G. MONNIER / L. MOREILLON / C. PIGUET / C. BETTEX / D. STOLL (éds), op. cit., no 38 ad art. 261 bis ). Ce type d'idéologie présuppose que leur représentant sait pertinemment qu'elle est fausse et n'y croit pas lui-même (M. NIGGLI, op. cit., no 1165). La " propagation " (al. 2) consiste en toute action ou déclaration qui s'adresse à un public dont le nombre est déterminé ou indéterminé. L'acte délictueux a pour objectif de porter à la connaissance de ceux à qui l'on s'adresse un certain contenu, une situation ou une évaluation et donc, implicitement, d'en faire propagande (M. NIGGLI, Rassendiskriminierung, Ein Kommentar zu Art. 261 bis StGB und Art. 171c MStG, 2 ème éd., Zurich 2007, no 1120). 2.3.5. Constituent un " abaissement " ou une " discrimination " (al. 4) tous les comportements qui dénient à des membres de groupes humains, en raison de leur race, de leur appartenance ethnique ou de leur religion, une valeur égale en tant qu’être humain ou des droits de l’homme identiques, ou du moins, qui remettent en question cette égalité (ATF 140 IV 67 consid. 2.1.1 ; arrêt du Tribunal fédéral 6B_1100/2014 du 14 octobre 2015 consid. 3.2). Pour apprécier si une expression relève du droit pénal, il faut se fonder sur le sens qu'un tiers moyen non averti doit, dans les circonstances d'espèce, lui attribuer. Une expression faite publiquement relève de l'art. 261 bis al. 4 1 ère partie CP lorsqu'elle serait comprise par un tiers moyen non averti dans les circonstances d'espèce comme relevant de la discrimination raciale et que le prévenu s'est accommodé du fait que son expression puisse être interprétée dans ce sens. Les circonstances tenant à la personne du prévenu et celles tenant à la personne visée appartiennent aussi aux critères essentiels d'interprétation de l'expression, tout comme les circonstances de l'acte en tant que tel (ATF 140 IV 67 consid. 2.1.2). 2.3.6. Le salut hitlérien reflète la manifestation d'une idéologie visant à rabaisser ou à dénigrer de façon systématique les membres d'une race, d'une ethnie ou d'une religion au sens l'art. 261 bis al. 2 CP, ce geste n'apparaissant pas, de nos jours, dans notre pays et pour le destinataire moyen et non averti comme une simple provocation ou un acte artistique, mais bien comme le signe de l'appartenance de son auteur, en partie tout au moins, au mouvement du national-socialisme (ATF 140 IV 102 consid. 2.2.1). Si le salut hitlérien n'est pas effectué en public mais dans un cadre privé, l'art. 261 bis CP n'est pas applicable, car il manque l’élément de la publicité. Si ledit salut est effectué en public mais entre partisans, il ne tombe pas non plus sous le coup de la norme pénale en question, car il manque l'élément de la propagande publique et donc celui de la " propagation ". Il ne suffit pas que le salut hitlérien soit publiquement adressé à des tiers pour que les éléments constitutifs de l’art. 261 bis al. 2 CP soient réalisés (ATF 140 IV 102 consid. 2.2.5). Ainsi, son exécution durant une vingtaine de secondes lors d'un événement organisé par un parti sur la prairie du Grütli, en présence de 150 participants et d'agents de police, mais également de quelques tiers, soit des marcheurs et promeneurs qui pouvaient prendre connaissance de la manifestation, ne s'apparentait pas à un acte de propagation de l'idéologie nazie dans la mesure où il n’était pas destiné à rallier à celle-ci des tiers non impliqués, ni à la promouvoir. Tout au plus consistait-il à manifester la propre orientation de l'auteur. Même si cela n'était pas le cas en l'espèce, l'utilisation publique du salut hitlérien, peut, selon les circonstances, les particularités locales et/ou le cercle des destinataires, remplir les conditions de l’art. 261 bis al. 4 1 ère partie CP (ATF 140 IV 102 consid. 2.3 et 2.4). 2.3.7. Dans un arrêt ATF 143 IV 308 , le Tribunal fédéral a confirmé la condamnation d'un individu ayant exécuté de concert avec deux autres hommes une " quenelle " devant une synagogue tout en ayant le visage dissimulé, étant précisé que l'un d'eux portait la tenue d'assaut de l'armée suisse. Le geste en question, empreint d'une connotation antisémite, devait être considéré comme obscène et méprisant. Un passant non averti aurait compris que le message s'adressait à l'ensemble de la confession juive représentée par le lieu de culte. Le choix de la toile de fond, de même que l'équipement des trois hommes venaient renforcer l'idée qu'ils cherchaient à véhiculer un message antisémite et que cela ne relevait pas de l'humour (cf. consid. 4.3). 2.3.8. Sur le plan subjectif, la discrimination raciale implique un comportement intentionnel, le dol éventuel suffit (ATF 123 IV 202 consid. 4c). L'intention doit porter sur tous les éléments constitutifs objectifs de l'infraction, soit ceux propres à chaque variante de l'art. 261 bis CP (arrêts de la Chambre pénale d'appel et de révision AARP/123/2022 du 28 avril 2022 ; AARP/214/2016 du 15 mai 2016). 2.3.9.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 2.3.10. En l'espèce, il est établi par la procédure, notamment par les constatations de police corroborées par les témoignages des policiers P______ et O______, par la photographie produite au dossier, par les déclarations concordantes de L______, I______, J______, K______, H______ et, dans une certaine mesure, par celles de l'intimé A______, qu'un groupe d'au moins neuf personnes, tous membres ou sympathisants du mouvement G______, s'est rendu devant le bâtiment d'Uni-Mail pour se photographier devant le local N______, local fréquenté notamment par des étudiants positionnés à l'extrême gauche, en guise de représailles à une action similaire entreprise par des antifascistes devant le bar où le groupe G______ avait l'habitude de se réunir. À l'occasion de ce rassemblement, plusieurs individus, parmi lesquels H______, ont effectué un salut nazi en direction de tiers, soit le fait de tendre vers le haut le bras droit, la main droite ouverte. S'agissant du nombre exact de personnes ayant effectué ce geste, sur la base des déclarations des agents de police, la Cour retient qu'il n'est pas possible de l'arrêter à plus de deux – dont H______ – compte tenu, en particulier, des réserves manifestées par le témoin O______ lors de son audition, puisqu'elle a déclaré qu'il était possible que plusieurs individus du groupe n'aient pas effectué de salut nazi, étant également rappelé que le témoin P______ n'a pas pu exclure qu'un membre du groupe n'ait pas commis ce geste litigieux. Ceci étant précisé, au vu de la jurisprudence du Tribunal fédéral, il n'existe aucun doute possible quant au fait que le salut hitlérien constitue une manifestation de la pensée du national-socialisme, idéologie visant à rabaisser ou à dénigrer de façon systématique les membres d'une race, d'une ethnie ou d'une religion. De même, il est évident que c'est également le sens qu'un tiers moyen non averti donnerait à un tel geste, peu importe le contexte dans lequel il est exécuté. Les intimés étaient au demeurant parfaitement conscients de la signification de ce geste, puisqu'ils ont tous trois indiqué, à un moment ou un autre de la procédure, qu'il n'était pas acceptable. La condition de la publicité est également réalisée, les gestes en question ayant été effectués à tout le moins pendant plusieurs secondes sur le domaine public, devant un bâtiment universitaire, un soir où il y avait beaucoup de monde dans la rue – le soir d'Halloween. 2.3.11. Les intimés D______ et C______ contestent s'être trouvés sur place au moment des faits, tandis que l'intimé A______ affirme s'être tenu à l'écart du groupe dans lequel ces gestes ont été commis. Les dénégations des intimés n'emportent pas la conviction de la Cour. Il ressort des déclarations concordantes de I______, L______ et J______ que trois individus, portant les mêmes prénoms que les intimés, étaient présents devant l'Université le soir des faits et qu'ils figuraient par ailleurs tous trois sur la photographie prise ce soir-là. Sur celle-ci, " C______ " était la personne portant la cagoule rouge et blanche. I______ et J______ ont par ailleurs situé " A______ " en haut à gauche et " D______ " en bas à droite sur la photographie. I______ a en outre fourni les numéros de téléphone de " C______ ", qu'il a désigné comme le " président de l'association ", de " A______ " et de " D______ ", numéros correspondant à ceux utilisés par les intimés. Ces mêmes numéros de téléphone étaient par ailleurs enregistrés dans le répertoire téléphonique de H______ sous les prénoms des intimés, auxquels étaient associées les initiales " G______ ". Il n'existe dès lors aucun doute quant au fait que les intimés correspondent aux personnes désignées par I______, L______ et J______. La thèse défendue par C______ et D______, selon laquelle les trois précités auraient cherché à se dédouaner en mentionnant leur présence sur les lieux, ne trouve aucune assise dans le dossier. L______, I______ et J______ ont admis leur présence ce soir-là. À teneur de la procédure, les deux derniers, majeurs à l'époque des faits, n'ont pas contesté leur condamnation, ce qui démontre qu'ils assumaient pleinement leur responsabilité. I______ a de surcroît fait des déclarations favorables à l'intimé C______ puisqu'il a déclaré ne pas penser que celui-ci avait effectué un salut hitlérien. De même, la thèse de pressions policières subies par le mineur L______ lors de son audition n'est corroborée par aucun élément objectif, étant rappelé qu'il a été entendu en présence de sa mère. S'il a indiqué, devant le MP en présence des intimés, ne pas être en mesure de confirmer certaines informations données à la police, il ne les a, d'aucune manière, infirmées. Tout au plus s'est-il borné à dire qu'il ne s'en souvenait pas. Enfin, les intimés n'ont cessé de varier dans leurs déclarations s'agissant de leur relation avec le groupe G______. Ils ont tous trois minimisé leur implication dans ce dernier, D______ et C______ prétendant même ignorer son existence dans un premier temps, avant d'admettre, du bout des lèvres, l'existence de certains liens avec celui-ci, après avoir été confrontés aux résultats de l'enquête, notamment des perquisitions et des analyses informatiques. À la lumière de ces derniers éléments, des connexions de l'intimé C______ sur la console d'administration du site internet du groupe et des déclarations des diverses personnes entendues en cours de procédure, il ne fait aucun doute que les trois intimés étaient des membres officiels ou de fait du groupe G______ ou, à minima, qu'ils prenaient part aux activités organisées par celui-ci. L'ensemble des éléments qui précèdent démontre que les intimés ont bien pris part au rassemblement du groupe G______ devant le bâtiment d'Uni-Mail le 31 octobre 2019, au cours duquel H______ et une autre personne ont effectué des saluts hitlériens. 2.3.12. Les éléments du dossier ne permettent cependant pas de retenir, au-delà d'un doute raisonnable, que l'un ou l'autre des intimés a, à l'instar de H______, effectué personnellement un salut hitlérien, étant rappelé que le rassemblement comptait à tout le moins neuf personnes. Se pose encore la question de la coactivité entre les intimés et les individus ayant effectué les gestes litigieux, compte tenu de leur participation à l'action du groupe G______. Il est d'abord établi par les constatations de police et par les déclarations de plusieurs protagonistes que le rassemblement devant l'Université a été organisé en réponse à une action similaire menée par des antifascistes devant le bar où le groupe G______ avait l'habitude de se réunir. Il était ainsi question de se photographier devant un local fréquenté par des étudiants d'extrême gauche, voire de coller des autocollants de leur groupe dans les environs dudit local. Il s'agissait ainsi d'une action de représailles, pour démontrer leur présence et le fait qu'ils ne resteraient pas sans réagir. La procédure ne démontre pas que les personnes présentes lors de ce rassemblement étaient préalablement convenues ou avaient envisagé, d'effectuer des saluts hitlériens devant l'Université. À cet égard, si le site internet, tout comme les flyers et autocollants relatifs au groupe G______, ne laissent planer aucun doute sur les convictions nationalistes et d'extrême droite de ses partisans, ils ne permettent pas, pour autant, d'établir que ces derniers auraient été coutumiers des saluts hitlériens en public et que tel aurait été l'objectif poursuivi le soir des faits. Il n'est pas non plus possible de retenir chez les intimés une adhésion, en cours d'exécution, au geste effectué par H______ ou par un autre membre du groupe. On ignore en effet à quel moment précis du rassemblement ces saluts nazis ont été effectués ou s'ils ont été réalisé à plusieurs reprises. Du reste, interrogée sur la durée pendant laquelle ces gestes avaient été commis, le témoin O______ a répondu que cela avait été " très rapide " et que les agents n'avaient pu observer le groupe que " très peu de temps ", étant précisé qu'ils s'étaient rapidement rendus au contact de celui-ci. En conséquence, une coactivité entre les intimés et les individus ayant effectué les gestes litigieux ne saurait être retenue. 2.3.13. Ainsi, les faits qualifiés d'infraction à l'art. 261 bis al. 3 CP, respectivement à l'art. 261 bis al. 4 CP, ne sont pas établis. L'acquittement des intimés sera confirmé et l'appel rejeté sur ce point. 2.4.1.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(art. 135 al. 1 aCP dans sa teneur jusqu'au 30 juin 2023). Celui qui aura acquis, obtenu par voie électronique ou d'une autre manière ou possédé des objets ou des représentations visées à l'al. 1, dans la mesure où ils illustrent des actes de violence contre des êtres humains ou des animaux, sera puni d'une peine privative de liberté d'un an au plus ou de l'amende (art. 135 al. 1 bis aCP). 2.4.2. Une représentation de violence n'est illicite qu'en l'absence de valeur culturelle ou scientifique digne de protection, notion qui doit s'interpréter de façon large (M. DUPUIS / L. MOREILLON / C. PIGUET / S. BERGER / M. MAZOU / V. RODIGARI [éds], Commentaire romand, Code pénal II, vol. II, Partie spéciale : art. 111-392 CP, Bâle 2017, N 10 ad art. 135). Le caractère digne de protection s'examine du point de vue d'un spectateur ouvert aux différentes formes d'expression artistique, dans le cercle visé par ladite représentation (ATF 131 IV 64 consid. 10.1.3). Il ne peut être retenu de valeur digne de protection lorsque les contenus ont pour unique objectif l'apologie ou la banalisation de la violence, ou le divertissement du public. L'absence d'intérêt digne de protection doit toutefois être manifeste ; en cas de doute, l'illicéité doit être déniée (jugement de la Cour des affaires pénales SK.2019.49 du 3 septembre 2020 consid. 6.3.6). Même lorsqu'elles proviennent originellement de sources à caractère scientifique, les représentations ne sont pas dignes de protection lorsqu'elles sont présentées hors de leur contexte initial, sans lien avec celui-ci (jugement de la Cour des affaires pénales SK.2019.38 du 26 juin 2020 consid. 6.1.3). Par contre, des images imprécises d'assassinat de civils dont on ne peut exclure qu'elles soient assimilables à celles d'un reportage de guerre, des images de cadavres défigurés se référant à un fait d’actualité visant à dénoncer une action de la police ou des images d'assassinat reprises d’un reportage officiel n'ont pas été considérées comme illicites, car elles pouvaient relever de l'illustration de faits d’actualité (jugement de la Cour des affaires pénales SK.2007.4 du 21 juin 2007 consid. 6.2.4 à 6.2.6). 2.4.3. Selon la jurisprudence du Tribunal fédéral en matière de possession de pornographie (applicable par analogie à l'infraction de l'art. 135 al. 1 bis aCP vu l'identité du comportement réprimé), l'utilisateur d'un ordinateur dispose d'un pouvoir de disposition sur les données pornographiques interdites qui se trouvent dans la mémoire-cache de ce dernier L'élément subjectif de la possession de données pornographiques dans la mémoire-cache doit cependant être admis avec retenue. L'utilisateur inexpérimenté d'un ordinateur ou d'internet, qui ignore tout de l’existence d'une telle mémoire et des données qu'elle contient, ne peut être considéré comme l'auteur d’une infraction à l’art. 197 ch. 3 bis CP. Il faut déterminer selon les circonstances concrètes du cas d'espèce s'il a connaissance de ces données. Celui qui consciemment laisse des données pornographiques interdites dans la mémoire-cache remplit l'élément constitutif de la possession. Des indices peuvent résulter, par exemple, de la modification des paramètres automatiques d'internet, de la présence de programmes tels que " cache-viewer " ou " cache-reader ", de l'effacement manuel de la mémoire cache, de la preuve d'un accès hors ligne ou de ses connaissances générales en matière d'informatique et d'Internet (ATF 137 IV 208 consid. 4.2.2 ; arrêt du Tribunal fédéral 6B_1325/2023 du 11 janvier 2024 consid. 1.2.2). 2.4.4. L'intimé C______ a déclaré devant le MP qu'il ignorait comment il avait obtenu les images d'exécution retrouvées dans son ordinateur, précisant qu'il n'était pas adepte d'images " gores ". Ce n'est que lors des débats de première instance qu'il a soutenu, pour la première fois, que lesdites images provenaient de sources journalistiques. Il est dès lors douteux qu'il puisse se prévaloir de la valeur scientifique ou culturelle de celles-ci, compte tenu du fait qu'elles apparaissent avoir été sorties de leur contexte d'origine. Cette question peut néanmoins demeurer ouverte dans la mesure où, sur le plan subjectif, aucun élément du dossier ne permet d'établir que l'intimé conservait, avec conscience et volonté, les images litigieuses dans la mémoire-cache de son ordinateur. Pour le surplus, il sera relevé que la simple consommation de ce type de fichiers n'était pas punissable à l'époque des faits, la modification de la loi à cet égard étant entrée en vigueur le 1 er juillet 2023. 2.4.5. Ainsi, il convient de confirmer le verdict d'acquittement. L'appel sera rejeté sur ce point. 2.5.1. Toute personne qui acquiert une arme ou un élément essentiel d'arme doit être titulaire d'un permis d'acquisition d'armes (art. 8 al. 1 LArm). La notion d'acquisition au sens de la LArm comprend toutes les formes de transfert de la propriété ou de la possession, notamment l'achat, l'échange, la donation, l'héritage, la location ou le prêt à usage, peu importe que le transfert ne se fasse que dans un but temporaire (ATF 143 IV 347 consid. 3.4 ; arrêt du Tribunal fédéral 6B_376/2019 du 16 avril 2019 consid. 2.1).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(art. 33 al. 1 let. a LArm). 2.5.2. L'art. 33 al. 2 aLArm (dans sa teneur jusqu'au 30 juin 2023) prévoit que si l'auteur agit par négligence, la peine est une amende. Dans les cas de peu de gravité, le juge peut exempter l'auteur de toute peine. 2.5.3. Par armes, on entend notamment : les engins qui permettent de lancer des projectiles au moyen d'une charge propulsive et peuvent être portés et utilisés par une seule personne, ou les objets susceptibles d'être transformés en de tels engins (armes à feu) ou les engins conçus pour porter durablement atteinte à la santé de l'être humain par pulvérisation ou par vaporisation de substances (art. 4 al. 1 let. a et let. b LArm). Les sprays d'autodéfense contenant la substance irritante suivante : CR (dibenz(b,f)-1,4-oxazépine) sont considérés comme des armes (art. 1a et annexe 2 de l'Ordonnance sur les armes [OArm]). 2.5.4.1. S'agissant du spray saisi sur l'intimé A______, il ressort de la traduction de l'étiquette, effectuée à la demande de la police, ainsi que des informations disponibles sur internet relatives à ce même objet, qu'il contient du dibenzoxazépine. Il n'existe aucun motif objectif de douter de la véracité de ces renseignements. Eu égard à cet élément, la défense plaide en vain que la police n'a pas analysé le contenu du spray, étant relevé qu'une telle analyse n'est, de loin, pas systématique et qu'elle ne constitue qu'un moyen de preuve parmi d'autres. Un spray contenant du dibenzoxazépine est une arme. L'intimé A______ admet avoir fait l'acquisition de ce spray pour pouvoir se défendre, à savoir pour blesser autrui. Il ne saurait toutefois être suivi lorsqu'il soutient avoir eu la conviction qu'il faisait l'acquisition d'un spray au poivre, dont la détention n'est pas sujette à autorisation en Suisse. En effet, de l'aveu même de l'intéressé, il a effectué cet achat sur un site ukrainien, dont il ne comprenait pas la langue, au motif que l'objet en question n'était pas onéreux. L'étiquette apposée sur le spray était par ailleurs en écriture cyrillique, de sorte qu'il ne pouvait procéder à aucune vérification quant au contenu de ce dernier. À cet égard, il n'est aucunement crédible lorsqu'il soutient, pour la première fois en appel, avoir ignoré qu'il existait des sprays de défense contenant d'autres substances que du poivre. Il avait d'ailleurs soutenu le contraire devant le TP, puisqu'il avait déclaré savoir que les sprays lacrymogènes étaient interdits en Suisse. Il découle des éléments qui précèdent que dès le moment de son achat, l'intimé n'a, à minima, pu qu'envisager et accepter qu'il faisait l'acquisition d'une arme qui pouvait être interdite en Suisse. Il s'est bien rendu coupable d'une infraction à l'art. 33 al. 1 let. a LArm. L'appel sera admis sur ce point et le jugement querellé réformé en ce sens. 2.5.4.2. Il est établi et non contesté par l'intimé D______ qu'un fusil à pompe constitue une arme dont la possession est sujette à autorisation. Dans cette mesure, il importe peu de savoir si le précité a acheté ou s'est vu prêter le fusil à pompe, dès lors qu'un permis était nécessaire dans les deux cas. L'intimé plaide vainement avoir considéré qu'un contrat de prêt était suffisant à cet égard, étant rappelé qu'il bénéficiait de solides connaissance en matière d'armes – il en possédait d'ailleurs plusieurs à l'époque des faits –, ce que son conseil n'a pas manqué de rappeler. L'intimé ne saurait non plus se prévaloir de la période de pandémie comme un empêchement de régulariser la situation, puisqu'il a conservé l'arme litigieuse pendant une durée conséquente, soit quatre mois, laquelle lui permettait aisément d'accomplir les démarches nécessaires. Eu égard également à la durée importante pendant laquelle l'intimé a conservé cette arme à feu en étant démuni d'autorisation, le cas ne saurait être qualifié de peu de gravité au sens de l'art. 33 al. 2 aLArm. 2.5.5. Au vu de ce qui précède, l'intimé D______ s'est rendu coupable de délit à la loi sur les armes (art. 33 al. 1 LArm). L'appel est admis sur ce point et le jugement querellé sera réformé en ce sens.</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Le juge peut prononcer, en plus d'une peine avec sursis, une amende conformément à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Cette combinaison de peines ne doit pas conduire à une aggravation de la peine globale ou permettre une peine supplémentaire. Pour tenir compte du caractère accessoire des peines cumulées, il se justifie en principe d'en fixer la limite supérieure à un cinquième, respectivement à 20 %, de la peine principale (ATF 135 IV 188 consid. 3.4.4). 3.4.1. La faute de l'intimé A______ est légère à moyenne. Il a commandé sur un site étranger un spray dont il ne pouvait ignorer l'illégalité potentielle sur le sol suisse. Il a porté cette arme dans le but de l'utiliser comme moyen de défense. Son mobile est égoïste. Il a agi par convenance personnelle et au mépris de la législation sur les armes, alors qu'il lui appartenait de se renseigner en cas de doute. Sa collaboration est mauvaise et sa prise de conscience n'est pas amorcée. Il n'a pas cessé de se retrancher derrière le fait que la police n'avait pas pu analyser le contenu du spray sans questionner son propre comportement. Il n'a pas d'antécédent. Sa situation personnelle, plutôt bonne, est sans lien avec les faits. 3.4.2. Au vu de ce qui précède, une peine pécuniaire de 15 jours-amende sera prononcée avec un montant du jour-amende fixé à CHF 45.-, compte tenu de ses revenus bruts de CHF 1'375.- et du fait que son loyer et sa prime d'assurance-maladie sont payés par son père. 3.4.3. Vu son absence d'antécédent, les conditions du sursis sont remplies (art. 42 al. 1 et 2 CP). La durée du délai d'épreuve sera arrêtée à trois ans. Compte tenu de l'absence de prise de conscience, pour attirer l'attention de l'intimé sur le caractère sérieux de la situation, une amende additionnelle de CHF 140.- sera prononcée (art. 42 al. 4 CP). 3.5.1. La faute de l'intimé D______ est légère à moyenne. Il a acquis et conservé à son domicile une arme au sens de la loi, alors qu'il ne pouvait qu'être conscient que sa détention nécessitait une autorisation administrative quel que soit le titre fondant sa possession. Sa faute doit toutefois être nuancée par le fait qu'il l'a conservée dans un coffre. Son mobile est égoïste. Il a agi par convenance personnelle et au mépris de la législation sur les armes qu'il connaissait très bien. Sa collaboration a été sans particularité. Il a attendu les débats de première instance pour produire des documents en lien avec le prêt de l'arme. Sa prise de conscience n'a pas débuté puisqu'il persiste, à nouveau en appel, à se retrancher derrière l'existence d'un contrat de prêt qui le dédouanerait. Il n'a pas d'antécédent. Sa situation personnelle, plutôt bonne, est sans lien avec les faits. 3.5.2. Au vu de ce qui précède, une peine pécuniaire de 20 jours-amende sera prononcée, avec un montant du jour-amende fixé à CHF 130.- compte tenu de ses revenus bruts de CHF 6'000.-, de son loyer de CHF 600.- et de sa prime d'assurance maladie de plus de CHF 400.-. 3.4.3. Vu l'absence d'antécédent, les conditions du sursis sont remplies (art. 42 al. 1 et 2 CP). La durée du délai d'épreuve sera arrêtée à trois ans. Compte tenu de l'absence de prise de conscience, pour attirer l'attention de l'intimé sur le caractère sérieux de la situation et pour mieux l'amener à s'amender, il sera condamné, à titre de sanction immédiate, à une amende additionnelle de CHF 520.-.</w:t>
      </w:r>
    </w:p>
    <w:p>
      <w:r>
        <w:rPr>
          <w:b/>
        </w:rPr>
        <w:t>E. 4</w:t>
      </w:r>
    </w:p>
    <w:p>
      <w:r>
        <w:t>Au vu des différents verdicts, il ne se justifie pas de revenir sur la restitution des objets saisis ainsi que sur la confiscation et destruction du spray interdit (art. 69 CP).</w:t>
      </w:r>
    </w:p>
    <w:p>
      <w:r>
        <w:rPr>
          <w:b/>
        </w:rPr>
        <w:t>E. 5.1</w:t>
      </w:r>
    </w:p>
    <w:p>
      <w:r>
        <w:t>Les intimés A______ et D______ qui succombent partiellement supporteront 15% chacun des frais de la procédure envers l'État (art. 428 al. 1 CPP), y compris un émolument d'arrêt de CHF 1'600.-, le solde étant laissé à la charge de l'État.</w:t>
      </w:r>
    </w:p>
    <w:p>
      <w:r>
        <w:rPr>
          <w:b/>
        </w:rPr>
        <w:t>E. 5.2</w:t>
      </w:r>
    </w:p>
    <w:p>
      <w:r>
        <w:t>Vu la réformation du premier jugement, la même répartition sera appliquée aux frais de la procédure préliminaire et de première instance (art. 428 al. 3 CPP).</w:t>
      </w:r>
    </w:p>
    <w:p>
      <w:r>
        <w:rPr>
          <w:b/>
        </w:rPr>
        <w:t>E. 6.1</w:t>
      </w:r>
    </w:p>
    <w:p>
      <w:r>
        <w:t>À teneur de l'art. 429 al. 1 CPP, si le prévenu est acquitté totalement ou en partie ou s'il bénéficie d'une ordonnance de classement, il a notamment droit à une indemnité pour les dépenses occasionnées par l'exercice raisonnable de ses droits de procédure (let. a) et à une indemnité pour le dommage économique subi au titre de sa participation obligatoire à la procédure pénale (let. b). La question de l'indemnisation doit être traitée après celle des frais, la décision sur les frais préjugeant de celle à rendre sur l'indemnisation. En d'autres termes, si le prévenu supporte les frais en application de l'art. 426 al. 1 ou 2 CPP, une indemnité est en règle générale exclue, alors que le prévenu y a en principe droit si l'État supporte les frais de la procédure pénale (ATF 147 IV 47 consid. 4.1 ; 144 IV 207 consid. 1.8.2 ; arrêt du Tribunal fédéral 6B_1169/2022 du 30 juin 2023 consid. 4.1.2).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(cf. ACPR/140/2013 du 12 avril 2013).</w:t>
      </w:r>
    </w:p>
    <w:p>
      <w:r>
        <w:rPr>
          <w:b/>
        </w:rPr>
        <w:t>E. 6.2</w:t>
      </w:r>
    </w:p>
    <w:p>
      <w:r>
        <w:t>La Cour de justice applique au chef d'étude un tarif horaire de CHF 450.- (arrêt du Tribunal fédéral 2C_725/2010 du 31 octobre 2011 ; ACPR/279/2014 du 27 mai 2014) ou de CHF 400.- ( ACPR/282/2014 du 30 mai 2014), notamment si l'avocat concerné avait lui-même calculé sa prétention à ce taux-là ( ACPR/377/2013 du 13 août 2013). Elle retient un taux horaire de CHF 150.- pour les avocats stagiaires ( ACPR/187/2017 du 22 mars 2017 consid 3.2 ; AARP/65/2017 du 23 février 2017).</w:t>
      </w:r>
    </w:p>
    <w:p>
      <w:r>
        <w:rPr>
          <w:b/>
        </w:rPr>
        <w:t>E. 6.3</w:t>
      </w:r>
    </w:p>
    <w:p>
      <w:r>
        <w:t>Dans le prolongement de ce qui vaut pour les frais, les intimés A______ et D______ peuvent prétendre à l'indemnisation de 85% de leurs frais d'avocat. Les notes d'honoraires produites remplissent globalement les principes développés supra, à l'exception du tarif horaire des stagiaires de M e B______ qui doit être réduit à CHF 150.- conformément à la jurisprudence de la Cour en la matière. Relevons également que dans la mesure où il est impossible de distinguer, hormis un appel à chaque client, quelle activité a trait à la défense privée de l'intimé A______ et celle de la défense d'office de l'intimé C______, seule la moitié des heures alléguées pour la procédure d'appel seront prises en compte ici. Au vu de ce qui précède, seront allouées à la charge de l'État à : -          l'intimé D______, pour la procédure préliminaire et de première instance, une indemnité de CHF 6'588.10 (85% de CHF 7'750.75), TVA comprise, et pour la procédure d'appel, une indemnité de CHF 2'603.40, soit 85% de sept heures et cinq minutes d'activité au tarif de CHF 400.-/heure (CHF 2'833.30) et la TVA à 8.1% (CHF 229.50) ; -          l'intimé A______, pour la procédure préliminaire et de première instance une indemnité de CHF 2'868.50 (85% fois CHF 3'374.65), TVA comprise, et pour la procédure d'appel, une indemnité de CHF 1'893.50, soit 85% de trois heures et cinquante-sept minutes au tarif de CHF 450.-/heure (CHF 1'777.50) et une heure et vingt-sept minutes au tarif de 150.-/heure (le tarif pratiqué par l'avocat a été ramené à celui usuellement appliqué par la Cour pénale) (CHF 217.50), TVA à 7.7% (CHF 22.10) et 8.1% (CHF 210.60) en sus.</w:t>
      </w:r>
    </w:p>
    <w:p>
      <w:r>
        <w:rPr>
          <w:b/>
        </w:rPr>
        <w:t>E. 7</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Sera retranché de l'état de frais de M e Pascal JUNOD, dont seule la moitié du volume sera considérée ici, le temps consacré à la prise de connaissance de document (15 minutes au total), à la réception/transmission d'avis (d'annulation) d'audience (cinq minutes environ), les différents appels (20 minutes) et la demande de consultation du dossier auprès de la Chambre de céans (cinq minutes), l'activité adéquate à ce titre étant couverte par le forfait. La rémunération sera ainsi arrêtée à CHF 1'845.60 correspondant à six heures d'activité au tarif de CHF 200.-/heure (CHF 1'200.-) ainsi que 1.5 heures au tarif de CHF 110.-/heure (CHF 165.-), plus la majoration forfaitaire de 20% (CHF 273.-), le déplacement (CHF 100.-) et la TVA à 7.7% (CHF 5.30) et 8.1% (CHF 102.30).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