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P/3815/2012 vom 26. März 2012</w:t>
      </w:r>
    </w:p>
    <w:p>
      <w:r>
        <w:t>GE Cour de justice, 2012-03-26, FR</w:t>
      </w:r>
    </w:p>
    <w:p>
      <w:r>
        <w:rPr>
          <w:b/>
        </w:rPr>
        <w:t xml:space="preserve">Quelle: </w:t>
      </w:r>
      <w:r>
        <w:t>https://mcp.opencaselaw.ch/entscheid/ge_gerichte_P_3815_2012</w:t>
      </w:r>
    </w:p>
    <w:p>
      <w:r>
        <w:t>FR: GE_GERICHTE P/3815/2012 du 26 mars 2012</w:t>
      </w:r>
    </w:p>
    <w:p>
      <w:r>
        <w:t>IT: GE_GERICHTE P/3815/2012 del 26 marzo 2012</w:t>
      </w:r>
    </w:p>
    <w:p>
      <w:pPr>
        <w:pStyle w:val="Heading2"/>
      </w:pPr>
      <w:r>
        <w:t>Regeste</w:t>
      </w:r>
    </w:p>
    <w:p>
      <w:r>
        <w:t>; DÉFENSE NÉCESSAIRE ; AUDITION OU INTERROGATOIRE ; POLICE JUDICIAIRE | CPP.130; CPP.131</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w:t>
      </w:r>
    </w:p>
    <w:p>
      <w:r>
        <w:t>C'est en vain que le recourant se plaint de n'avoir pas été assisté d'un avocat lors de sa première audition devant la police. La défense obligatoire, telle que prévue par l'art. 130 CPP - en particulier lorsque le prévenu encourt une peine privative de liberté de plus d'un an ou une mesure entraînant une privation de liberté (lit. b) - n'a pas à être mise en œuvre lors de l'audition à la police (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 Berne, février 2003, 41). Le recourant n'avait ainsi pas à être pourvu d'un défenseur d'office lors de son audition par la police, immédiatement après la survenance des faits et avant l'ordonnance d'ouverture d'instruction.</w:t>
      </w:r>
    </w:p>
    <w:p>
      <w:r>
        <w:rPr>
          <w:b/>
        </w:rPr>
        <w:t>E. 4</w:t>
      </w:r>
    </w:p>
    <w:p>
      <w:r>
        <w:t>Dans un autre argument, le recourant se plaint d'avoir été mal informé de ses droits, en raison de son illettrisme, le dossier ne démontrant pas qu'une information orale de ses droits lui aurait été donnée avant son audition. Or, le recourant, qui vit à Genève, selon lui depuis 1992 et, selon les pièces, au moins depuis juillet 2002, n'a jamais fait état de son illettrisme et a, au contraire, affirmé avoir fréquenté l'école obligatoire en Algérie. Ce serait faire injure à celle-ci que de considérer qu'elle ne lui avait pas permis d'apprendre à lire, ce dont il ne s'est au demeurant nullement plaint avant le dépôt de son recours. L'argument, qui frise la témérité, ne sera, par conséquent, pas retenu.</w:t>
      </w:r>
    </w:p>
    <w:p>
      <w:r>
        <w:rPr>
          <w:b/>
        </w:rPr>
        <w:t>E. 5</w:t>
      </w:r>
    </w:p>
    <w:p>
      <w:r>
        <w:t>En tant qu'il succombe, le recourant supportera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