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P/3812/2021 vom 30. März 2022</w:t>
      </w:r>
    </w:p>
    <w:p>
      <w:r>
        <w:t>GE Cour de justice, 2022-03-30, FR</w:t>
      </w:r>
    </w:p>
    <w:p>
      <w:r>
        <w:rPr>
          <w:b/>
        </w:rPr>
        <w:t xml:space="preserve">Quelle: </w:t>
      </w:r>
      <w:r>
        <w:t>https://mcp.opencaselaw.ch/entscheid/ge_gerichte_P_3812_2021</w:t>
      </w:r>
    </w:p>
    <w:p>
      <w:r>
        <w:t>FR: GE_GERICHTE P/3812/2021 du 30 mars 2022</w:t>
      </w:r>
    </w:p>
    <w:p>
      <w:r>
        <w:t>IT: GE_GERICHTE P/3812/2021 del 30 marzo 2022</w:t>
      </w:r>
    </w:p>
    <w:p>
      <w:pPr>
        <w:pStyle w:val="Heading2"/>
      </w:pPr>
      <w:r>
        <w:t>Regeste</w:t>
      </w:r>
    </w:p>
    <w:p>
      <w:r>
        <w:t>CLASSEMENT DE LA PROCÉDURE;ESCROQUERIE;ASSISTANCE JUDICIAIRE;FRAIS DE LA PROCÉDURE | CPP.319; CP.148; CPP.136; CPP.427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Ministère public d'avoir classé ses plaintes. ![endif]&gt;![if&gt;</w:t>
      </w:r>
    </w:p>
    <w:p>
      <w:r>
        <w:rPr>
          <w:b/>
        </w:rPr>
        <w:t>E. 3.1</w:t>
      </w:r>
    </w:p>
    <w:p>
      <w:r>
        <w:t>Conformément à l'art. 319 al. 1 CPP, le ministère public ordonne le classement de la procédure, lorsque : aucun soupçon justifiant une mise en accusation n'est établi (let. a); les éléments constitutifs d’une infraction ne sont pas réunis (let. b); des empêchements de procéder sont apparus (let. d). ![endif]&gt;![if&gt; Cette disposition doit être appliquée conformément au principe "in dubio pro duriore". Celui-ci découle du principe de la légalité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3.2</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w:t>
      </w:r>
    </w:p>
    <w:p>
      <w:r>
        <w:rPr>
          <w:b/>
        </w:rPr>
        <w:t>E. 3.3</w:t>
      </w:r>
    </w:p>
    <w:p>
      <w:r>
        <w:t>Commet une 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L'enrichissement illégitime peut consister en n'importe quel avantage d'ordre économique auquel l'auteur n'a pas droit. Par conséquent, le créancier qui trompe son débiteur, par des affirmations fallacieuses, dans le but d'obtenir le paiement d'une dette échue, ne commet pas une escroquerie (ATF 81 IV 25 consid. 2 p. 28; A. MACALUSO / L. MOREILLON / N. QUELOZ (éds), Commentaire romand, Code pénal II, vol. II, Partie spéciale : art. 111-392 CP, Bâle 2017 , n. 123 ad art. 146).</w:t>
      </w:r>
    </w:p>
    <w:p>
      <w:r>
        <w:rPr>
          <w:b/>
        </w:rPr>
        <w:t>E. 3.4</w:t>
      </w:r>
    </w:p>
    <w:p>
      <w:r>
        <w:t>En l'espèce, le Ministère public a d'abord classé la procédure en tant qu'elle portait sur l'infraction de faux dans les titres, au motif que le recourant avait admis avoir signé la lettre de renonciation du 21 février 2017. Le recourant ne remet pas en cause ce raisonnement, reprochant plutôt au Ministère public d'avoir ignoré la possibilité qu'il eût signé ce document sans en comprendre le contenu, ce qui a trait à l'infraction d'escroquerie. Il faut donc retenir, à l'instar du Ministère public, que le recourant a effectivement signé cette lettre de renonciation. Dans ces circonstances, il n'y a pas la place pour la réalisation d'un faux dans les titres et le classement de la procédure sur cet aspect ne prête pas le flanc à la critique. S'agissant de l'infraction d'escroquerie, le recourant s'évertue à réfuter deux arguments du Ministère public: le caractère variable de ses déclarations et la non-réalisation de l'élément constitutif de l'astuce. Pour ce faire, il invoque – de façon décousue – une violation du droit, une constatation incomplète des faits et l'arbitraire. Il est un aspect de l'ordonnance querellée qu'il ne traite toutefois pas, à savoir celui du dessein d'enrichissement illégitime, nié par le Ministère public. Or, les déclarations des parties s'accordent pour dire que le prévenu a plusieurs fois soutenu financièrement le recourant pour sauver le restaurant de la faillite. Ce dernier a également admis, lors de son audition, que les montants payés par le prévenu aux créanciers constituaient des " avances ", impliquant un remboursement. D'ailleurs, le décompte pour le " Contrat de prêt du 25 septembre 2021 " conforte l'idée, d'une part, que le prévenu a bien avancé des sommes en faveur du recourant et, d'autre part, que la nature juridique de ses avances relevait du prêt. En résumé, il est établi – sans être même contesté – que le prévenu disposait d'une créance en remboursement contre le recourant. Des échanges de courriels impliquant le prévenu, il ressort en outre que la part du produit de la vente du restaurant devait servir à lui rembourser cette créance. Lors de son audition, il a produit un tableau récapitulatif de celles-ci – s'élevant à CHF 97'445.05, ce qui n'a jamais été remis en cause par le recourant – et expliqué avoir perçu l'équivalent sur le prix de la vente. Il découle de ce qui précède que la part perçue par le prévenu sur le produit de la vente a servi le seul but de solder ses créances contre le recourant. Dans ces circonstances, la condition d'enrichissement illégitime nécessaire à l'escroquerie doit être niée et, partant, le classement de l'infraction s'avère justifié. Quant au solde du produit de la vente, les tiers en ayant bénéficié n'ont fait l'objet d'aucune plainte de la part du recourant.</w:t>
      </w:r>
    </w:p>
    <w:p>
      <w:r>
        <w:rPr>
          <w:b/>
        </w:rPr>
        <w:t>E. 4</w:t>
      </w:r>
    </w:p>
    <w:p>
      <w:r>
        <w:t>Compte tenu de ce qui précède, les griefs d'une constatation incomplète des faits et d'arbitraire peuvent être rejetés. La Chambre de céans disposant en effet d'un plein pouvoir de cognition en droit et en fait (art. 393 al. 2 CPP; ATF 137 I 195 consid. 2.3.2 p. 197), elle a établi l'état de fait en tant que besoin. ![endif]&gt;![if&gt;</w:t>
      </w:r>
    </w:p>
    <w:p>
      <w:r>
        <w:rPr>
          <w:b/>
        </w:rPr>
        <w:t>E. 5</w:t>
      </w:r>
    </w:p>
    <w:p>
      <w:r>
        <w:t>Les réquisitions de preuves peuvent également être écartées. Elles ne visent pas à remettre en cause le bienfondé des créances du prévenu ou son remboursement sur le produit de la vente et ne peuvent, dès lors, contredire les raisonnements du considérant précédent. ![endif]&gt;![if&gt;</w:t>
      </w:r>
    </w:p>
    <w:p>
      <w:r>
        <w:rPr>
          <w:b/>
        </w:rPr>
        <w:t>E. 6</w:t>
      </w:r>
    </w:p>
    <w:p>
      <w:r>
        <w:t>Le recourant reproche au Ministère public de lui avoir refusé l'assistance judiciaire. ![endif]&gt;![if&gt;</w:t>
      </w:r>
    </w:p>
    <w:p>
      <w:r>
        <w:rPr>
          <w:b/>
        </w:rPr>
        <w:t>E. 6.1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6.2</w:t>
      </w:r>
    </w:p>
    <w:p>
      <w:r>
        <w:t>En l'espèce, la question de l'indigence du recourant peut souffrir de rester indécise compte tenu de ce qui suit. Le recourant consacre plusieurs pages à démontrer la réalisation d'un dol au sens de l'art. 28 CO pour étayer les chances de succès de ses prétentions civiles. Ce faisant, il néglige les aspects factuels – établis et incontestés – discutés supra ( consid. 3 ), à savoir que le prévenu n'a, d'un point de vue global, obtenu aucun enrichissement – a fortiori illégitime – puisque le montant perçu sur le produit de la vente a servi à rembourser ses avances au recourant. C'est donc à bon droit que le Ministère public a nié toute chance de succès d'une action civile. La requête ne pouvait dès lors qu'être rejetée.</w:t>
      </w:r>
    </w:p>
    <w:p>
      <w:r>
        <w:rPr>
          <w:b/>
        </w:rPr>
        <w:t>E. 7</w:t>
      </w:r>
    </w:p>
    <w:p>
      <w:r>
        <w:t>Le recourant conteste enfin sa condamnation à la moitié des frais de la procédure devant l'instance précédante. ![endif]&gt;![if&gt;</w:t>
      </w:r>
    </w:p>
    <w:p>
      <w:r>
        <w:rPr>
          <w:b/>
        </w:rPr>
        <w:t>E. 7.1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7.2</w:t>
      </w:r>
    </w:p>
    <w:p>
      <w:r>
        <w:t>En l'espèce, le recourant ne conteste pas que les conditions de l'art. 427 al. 2 CPP soient réalisées mais soutient que, compte tenu de ses difficultés financières, la décision du Ministère public constituait un abus du pouvoir d'appréciation. Il faut toutefois rappeler qu'il a porté plainte contre le prévenu pour faux dans les titres alors qu'il savait avoir signé la lettre de renonciation, dont il avait préalablement affirmé n'avoir jamais eu connaissance. En outre, le montant laissé à sa charge ne représentent que la moitié des frais totaux, lesquels ne sont pas excessifs. La décision du Ministère public n'apparaît ainsi pas inéquitable.</w:t>
      </w:r>
    </w:p>
    <w:p>
      <w:r>
        <w:rPr>
          <w:b/>
        </w:rPr>
        <w:t>E. 8</w:t>
      </w:r>
    </w:p>
    <w:p>
      <w:r>
        <w:t>Infondé, le recours sera dès lors intégrallement rejeté. ![endif]&gt;![if&gt;</w:t>
      </w:r>
    </w:p>
    <w:p>
      <w:r>
        <w:rPr>
          <w:b/>
        </w:rPr>
        <w:t>E. 9</w:t>
      </w:r>
    </w:p>
    <w:p>
      <w:r>
        <w:t>Le recourant, qui succombe, supportera les frais envers l'État, fixés en totalité à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