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P/3803/2018 vom 10. Februar 2022</w:t>
      </w:r>
    </w:p>
    <w:p>
      <w:r>
        <w:t>GE Cour de justice, 2022-02-10, FR</w:t>
      </w:r>
    </w:p>
    <w:p>
      <w:r>
        <w:rPr>
          <w:b/>
        </w:rPr>
        <w:t xml:space="preserve">Quelle: </w:t>
      </w:r>
      <w:r>
        <w:t>https://mcp.opencaselaw.ch/entscheid/ge_gerichte_P_3803_2018</w:t>
      </w:r>
    </w:p>
    <w:p>
      <w:r>
        <w:t>FR: GE_GERICHTE P/3803/2018 du 10 février 2022</w:t>
      </w:r>
    </w:p>
    <w:p>
      <w:r>
        <w:t>IT: GE_GERICHTE P/3803/2018 del 10 febbraio 2022</w:t>
      </w:r>
    </w:p>
    <w:p>
      <w:pPr>
        <w:pStyle w:val="Heading2"/>
      </w:pPr>
      <w:r>
        <w:t>Regeste</w:t>
      </w:r>
    </w:p>
    <w:p>
      <w:r>
        <w:t>INCENDIE INTENTIONNEL;VOL(DROIT PÉNAL);DOMMAGES À LA PROPRIÉTÉ(DROIT PÉNAL);VIOLATION DE DOMICILE | CP.221; CP.186; CP.144.al1; CP.139.ch1</w:t>
      </w:r>
    </w:p>
    <w:p>
      <w:pPr>
        <w:pStyle w:val="Heading2"/>
      </w:pPr>
      <w:r>
        <w:t>Erwägungen</w:t>
      </w:r>
    </w:p>
    <w:p>
      <w:r>
        <w:rPr>
          <w:b/>
        </w:rPr>
        <w:t>E. 3</w:t>
      </w:r>
    </w:p>
    <w:p>
      <w:r>
        <w:t>3.1. L'infraction dincendie intentionnel est punie dune peine privative de liberté dun an au moins (art. 221 al. 1 CP). Linfraction de vol est passible d'une peine privative de liberté de cinq ans au plus ou d'une peine pécuniaire. Les infractions aux art. 144 et 186 CP sont passibles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p. 62 s. ; arrêts du Tribunal fédéral 6B_1036/2018 du 28 novembre 2018 consid. 1.3 et 6B_616/2015 du 5 avril 2016 consid. 2.3). 3.4.1. En lespèce, lappelant sen est pris au patrimoine dautrui, prenant le risque de causer un danger collectif. Il a bouté le feu à une maison, sans égard pour les conséquences de son geste, qui a conduit à la destruction du lieu de vie de la partie plaignante. Il a au surplus pénétré sans droit sur les lieux, à deux reprises, a endommagé une porte et a dérobé différents objets. Ses mobiles sont particulièrement futiles. Il a agi par simple amusement et par appât du gain, sans se soucier des dégâts quil pouvait causer ou du danger quil pouvait créer. Sa situation personnelle ne justifie pas son comportement. Il bénéficiait dune vie familiale stable au moment des faits, habitant avec ses parents qui le soutenaient. Il a un antécédent en Suisse pour des infractions contre le patrimoine et un antécédent en France, qui nest pas spécifique. Il sera tenu compte, à décharge, du jeune âge de lappelant au moment des faits et de lévolution positive de sa situation personnelle, attestée par différents certificats de travail, ce qui démontre sa volonté de sen sortir. Sa collaboration a été mauvaise. Il sest, certes, rendu spontanément auprès de la police, peu après les faits. Il ressort cependant de son audition quil y est allé dans le but de se dédouaner, après avoir appris que ses comparses lincriminaient. Il na reconnu sa première visite dans la maison que lors dune seconde audition par la police. Il na par ailleurs admis avoir volé des objets quaprès avoir été confronté aux déclarations de D______. Il a donné des explications fantaisistes au cours de la procédure (notamment au sujet du tuyau darrosage quil aurait employé pour éteindre le feu), persistant dans ses dénégations, même après avoir été confronté aux éléments objectifs du dossier. Il a rejeté la responsabilité sur ses amis, prétextant être victime dun complot. Sa prise de conscience est inexistante. Il na exprimé des regrets quà une seule reprise au cours de la procédure et pour une partie seulement des infractions commises, reconnaissant tardivement devant le TP quil nétait pas normal dentrer chez quelquun et de se servir. Il na exprimé aucun regret vis-à-vis de lincendie et na pas présenté dexcuses au plaignant, qui a vu sa maison détruite. Son attitude dans la procédure doit cependant être relativisée, celle-ci pouvant en partie sexpliquer par le trouble dont il souffre. 3.4.2. Au vu de la gravité des faits, seule une peine privative de liberté entre en considération, et ce, pour lensemble des infractions commises. Dans la mesure où l'infraction dincendie intentionnel est abstraitement la plus grave, la CPAR retiendra, tenant compte de l'ensemble des circonstances ayant trait à l'acte lui-même, qu'une peine privative de liberté de 20 mois est appropriée et sanctionne adéquatement ces faits. Cette peine sera étendue de deux mois supplémentaires pour l'infraction de vol (peine hypothétique : trois mois), dun mois pour les deux infractions de violation de domicile (peine hypothétique : deux mois) et dun mois pour l'infraction de dommages à la propriété (peine hypothétique : deux mois), l'ensemble de ces infractions entrant en concours (art. 49 al. 1 CP). Au vu de ce qui précède, la CPAR considère qu'une peine privative de liberté de l'ordre de deux ans doit être retenue comme peine de base, la faute, à ce stade, devant être qualifiée de très grave. Cette peine doit cependant être ramenée à un an afin de tenir compte de la responsabilité moyennement restreinte de l'appelant au moment des faits – la CPAR faisant siennes les conclusions de l'expertise psychiatrique à cet égard –, ce qui réduit d'autant la faute de lappelant, qui sera en définitive qualifiée de moyennement grave. La peine privative de liberté sera donc, en définitive, arrêtée à un an, sous déduction de la détention avant jugement. 3.4.4. Le traitement ambulatoire sera confirmé, au vu des conclusions de lexpertise dont il ny a pas lieu de sécarter. Lappelant a, certes, entamé un suivi médical au cours de la procédure, notamment en participant à une thérapie de groupe. Il a également suivi un traitement en raison de son trouble de lattention avec hyperactivité et a considérablement évolué dans sa vie personnelle et professionnelle, démarches quil convient de saluer. Reste que les experts ont relevé que le risque de récidive était plutôt élevé, à moyen et long terme. Ils ont également souligné le fait que le suivi thérapeutique devait être imposé à lappelant, quand bien même celui-ci se disait daccord avec la poursuite de ce traitement, dans la mesure où il était fort possible quil se décourage et sen désintéresse après la fin de la procédure, étant précisé que son manque de motivation pouvait être lié à son trouble. Or, lappelant a justement interrompu son suivi, et en particulier la thérapie de groupe quil suivait avant le jugement de première instance. Il paraît dès lors nécessaire de lui imposer une mesure ambulatoire afin de lastreindre au suivi dun traitement. Cette mesure semble dautant plus utile que les experts ont préconisé quelle soit accompagnée dun contrôle des consommations de toxiques, afin daider lappelant à maintenir une abstinence à la drogue et à lalcool, dans le but de limiter le risque de récidive. Lexécution de la peine privative de liberté sera suspendue au profit du traitement ambulatoire, le premier juge ayant adéquatement tenu compte de la situation personnelle de lappelant, qui sest nettement améliorée depuis les faits, et des efforts entrepris par celui-ci dans le but de sinsérer dans la société. La mesure prononcée étant incompatible avec le sursis (ATF 135 IV 180 consid. 2.3 ; 134 IV 1 consid. 3.1), celui-ci ne sera pas prononcé.</w:t>
      </w:r>
    </w:p>
    <w:p>
      <w:r>
        <w:rPr>
          <w:b/>
        </w:rPr>
        <w:t>E. 4</w:t>
      </w:r>
    </w:p>
    <w:p>
      <w:r>
        <w:t>2. Pour les mêmes raisons, ses différentes conclusions en indemnisation seront rejetées. * * * * *</w:t>
      </w:r>
    </w:p>
    <w:p>
      <w:r>
        <w:rPr>
          <w:b/>
        </w:rPr>
        <w:t>E. 4.1</w:t>
      </w:r>
    </w:p>
    <w:p>
      <w:r>
        <w:t>L'appelant, qui succombe, supportera les frais de la procédure dappel, comprenant un émolument de CHF 1'500.- (art. 428 CPP et art. 14 al. 1 let. e du règlement fixant le tarif des frais en matière pénale du 22 décembre 2010 [RTFMP]). Les frais de la procédure de première instance demeureront également entièrement à sa charge, quand bien même il a été acquitté de linfraction de dommages à la propriété concernant les faits du 22 février 2018. Linstruction concernant cette infraction na effectivement engendré aucun frais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