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P/3778/2012 vom 7. November 2012</w:t>
      </w:r>
    </w:p>
    <w:p>
      <w:r>
        <w:t>GE Cour de justice, 2012-11-07, FR</w:t>
      </w:r>
    </w:p>
    <w:p>
      <w:r>
        <w:rPr>
          <w:b/>
        </w:rPr>
        <w:t xml:space="preserve">Quelle: </w:t>
      </w:r>
      <w:r>
        <w:t>https://mcp.opencaselaw.ch/entscheid/ge_gerichte_P_3778_2012</w:t>
      </w:r>
    </w:p>
    <w:p>
      <w:r>
        <w:t>FR: GE_GERICHTE P/3778/2012 du 7 novembre 2012</w:t>
      </w:r>
    </w:p>
    <w:p>
      <w:r>
        <w:t>IT: GE_GERICHTE P/3778/2012 del 7 novembre 2012</w:t>
      </w:r>
    </w:p>
    <w:p>
      <w:pPr>
        <w:pStyle w:val="Heading2"/>
      </w:pPr>
      <w:r>
        <w:t>Regeste</w:t>
      </w:r>
    </w:p>
    <w:p>
      <w:r>
        <w:t>DOMAINE PUBLIC; CONTRAVENTION ; ACQUITTEMENT ; INDEMNITÉ(EN GÉNÉRAL) | LMDPu.3; LMDPu.6; LMDPu.10; CPP. 429; CPP.436.1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L'indemnité selon les art. 429 al. 1 let. a et 436 al. 2 (recte.1) CPP concerne les dépenses du prévenu pour un avocat de choix (ATF 6B_144/2012 cons. 1.2.; ATF 6B_753/2011 cons. 1). Le Message énonce que « l'État doit réparer la totalité du dommage qui présente un lien de causalité avec la procédure pénale au sens du droit de la responsabilité civile ». Le législateur a cependant précisé que l'indemnité ne serait due qu'à concurrence des dépenses occasionnées par l'exercice « raisonnable » des droits de procédure du prévenu, ouvrant ainsi une brèche semblant autoriser la réduction de la note d'honoraires du défenseur. Le Conseil fédéral explique avoir transposé la jurisprudence par l'ajout du terme « raisonnable » et l'interprète en ce sens que « l'État ne prend en charge ces frais que si l'assistance était nécessaire compte tenu de la complexité de l'affaire en fait ou en droit et que le volume de travail était ainsi justifié » (Message relatif à l'unification du droit de la procédure pénale suisse (CPP) du 21 décembre 2005, FF 2006 1057 ss, spéc. 1313).</w:t>
      </w:r>
    </w:p>
    <w:p>
      <w:r>
        <w:rPr>
          <w:b/>
        </w:rPr>
        <w:t>E. 2.2</w:t>
      </w:r>
    </w:p>
    <w:p>
      <w:r>
        <w:t>En l'espèce, l'affaire présentait une certaine complexité, dès lors que l'appelant s'est retrouvé mêlé à l'organisation d'une manifestation non autorisée et accusé de violation à la LMDPu. Par conséquent, l'assistance d'un avocat était nécessaire et le principe d'une indemnisation acquis. La note d'honoraires devra cependant être corrigée, eu égard à la surestimation de la durée de l'audience du Tribunal de police. De plus, le temps des conférences client peut être réduit à 30 minutes chacune, dès lors que la compréhension du déroulement des faits et la stratégie de défense ne requièrent pas plus d'une demi-heure. Par conséquent, les honoraires du Conseil seront réduits à 205 minutes pour l'activité déployée en première instance. Quant au travail effectué devant la Chambre d'appel, soit deux courriers et un mémoire d'appel, les quatre heures évoquées peuvent être raisonnablement réduites à 90 minutes. Le Conseil de l'appelant étant aussi celui qui assiste Y______ dans le cadre d'une procédure similaire, et dans laquelle ce dernier a également fait appel pour les mêmes motifs, il se justifie, à l'exception du temps consacré à l'audience du Tribunal de police, de diviser ce temps d'activité par deux, les mémoires d'appel étant identiques. Par conséquent, le temps consacré à l'appelant par son avocat est de 165 minutes. Le tarif retenu, soit CHF 400.– l'heure, est conforme à celui exercé par les avocats à Genève, si bien qu'il sera confirmé. Pour ces motifs, le montant alloué au Conseil de l'appelant se chiffre à CHF 1'188.–, TVA comprise (CHF 88.–) pour sa rémunération liée à l'exercice raisonnable des droits de défense pour l'ensemble de la procédure, y compris la phase d'appel.</w:t>
      </w:r>
    </w:p>
    <w:p>
      <w:r>
        <w:rPr>
          <w:b/>
        </w:rPr>
        <w:t>E. 3</w:t>
      </w:r>
    </w:p>
    <w:p>
      <w:r>
        <w:t>L'appel ayant été admis, il ne sera pas perçu de frais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