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P/3639/2013 vom 4. April 2016</w:t>
      </w:r>
    </w:p>
    <w:p>
      <w:r>
        <w:t>GE Cour de justice, 2016-04-04, FR</w:t>
      </w:r>
    </w:p>
    <w:p>
      <w:r>
        <w:rPr>
          <w:b/>
        </w:rPr>
        <w:t xml:space="preserve">Quelle: </w:t>
      </w:r>
      <w:r>
        <w:t>https://mcp.opencaselaw.ch/entscheid/ge_gerichte_P_3639_2013</w:t>
      </w:r>
    </w:p>
    <w:p>
      <w:r>
        <w:t>FR: GE_GERICHTE P/3639/2013 du 4 avril 2016</w:t>
      </w:r>
    </w:p>
    <w:p>
      <w:r>
        <w:t>IT: GE_GERICHTE P/3639/2013 del 4 aprile 2016</w:t>
      </w:r>
    </w:p>
    <w:p>
      <w:pPr>
        <w:pStyle w:val="Heading2"/>
      </w:pPr>
      <w:r>
        <w:t>Regeste</w:t>
      </w:r>
    </w:p>
    <w:p>
      <w:r>
        <w:t>ACTE DE RECOURS; CONTRIBUTION AUX FRAIS DE DÉPLACEMENT; INDEMNITÉ(EN GÉNÉRAL); TORT MORAL; FRAIS JUDICIAIRES; CLASSEMENT DE LA PROCÉDURE; LEX MITIOR; DÉLIT CONTINU; PRESCRIPTION; CONTRAINTE(DROIT PÉNAL); ENLÈVEMENT(INFRACTION); CRUAUTÉ; VIOLENCE DOMESTIQUE | CPP.135.1; CPP.390.1; CPP.403.1.c; CPP.126.1.a; CPP.122.1; CPP.428.3; CO.47; CPP.136.2.b; CP.2.2; CP.97.3; CP.98.a; CP.98.c; RTFMP.9.2; CP.183.1; CP.184.3</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Le recours du conseil juridique gratuit de l'appelante a été interjeté en temps utile et est recevable en la forme (art. 390 al. 1, 396 et 397 CPP). Selon la jurisprudence du Tribunal fédéral (ATF 139 IV 199 consid. 5.6. in fine ), la juridiction d'appel déjà saisie d'un appel sur le fond est également compétente pour connaître de la contestation par le défenseur d'office ou le conseiller juridique gratuit relative à la décision de la direction de la procédure du tribunal de première instance arrêtant son indemnité au sens de l'art. 135 al. 1 CPP.</w:t>
      </w:r>
    </w:p>
    <w:p>
      <w:r>
        <w:rPr>
          <w:b/>
        </w:rPr>
        <w:t>E. 2.1</w:t>
      </w:r>
    </w:p>
    <w:p>
      <w:r>
        <w:t>L'art. 2 al. 2 CP fait exception au principe de la non-rétroactivité de la loi pénale pour le cas où l'auteur est mis en jugement sous l'empire d'une loi nouvelle ; en pareil cas, cette dernière s'applique si elle est plus favorable à l'auteur que celle qui était en vigueur au moment de la commission de l'infraction ( lex mitior ). Pour déterminer quel est le droit le plus favorable, il y a lieu d'examiner l'ancien et le nouveau droit dans leur ensemble et de comparer les résultats auxquels ils conduisent dans le cas concret (ATF 134 IV 82 consid. 6.2.1). De même, l'article 389 CP, concrétisant le principe de la non-rétroactivité et l'exception de la lex mitior , précise que les dispositions du nouveau droit concernant la prescription de l'action pénale et des peines sont applicables également aux auteurs d'actes commis ou jugés avant l'entrée en vigueur du nouveau droit si elles lui sont plus favorables que celles de l'ancien droit. Si au contraire, la nouvelle loi fixe un délai de prescription plus long, on appliquera l'ancienne loi à une infraction commise sous son empire (cf. ATF 129 IV 49 consid. 5.1 = JdT 2006 IV 43 ; arrêt du Tribunal fédéral 6B_496/2012 du 18 avril 2013 consid. 8.2). 2.2.1. Une partie des infractions reprochées à l'intimé ont été commises avant le 1 er janvier 2014, date de l'entrée en vigueur des dispositions étendant les délais de prescription. L'ancien droit s'applique, en vertu de la lex mitior , dans la mesure où il prévoit, pour les infractions passibles d'une peine privative de liberté de trois ans au maximum, que l'action pénale se prescrit par sept ans (art. 97 al. 1 let. c a CP), soit une durée inférieure à celle prévue par le droit actuel prévoyant une prescription par dix ans (art. 97 al. 1 let. c CP). 2.2.2. La prescription ne court plus si, avant son échéance, un jugement de première instance a été rendu (art. 97 al. 3 CP). 2.2.3. Selon l'art. 98 CP, la prescription court dès le jour où l'auteur a exercé son activité coupable (let. a) ou dès le jour où les agissements coupables ont cessé s'ils ont eu une certaine durée (let. c). L'art. 98 let. c CP, fait référence à la notion d'infraction continue, en ce sens 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(arrêt du Tribunal fédéral 6B_310/2014 du 23 novembre 2015 consid. 4.2.2).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132 IV 49 consid. 3.1.2.2 ; ATF 131 IV 83 consid. 2.1.2 ; ATF 119 IV 216 consid. 2f). Tel est notamment le cas de la séquestration et de l'enlèvement qualifié au sens des art. 183 al. 2 et 184 al. 4 CP, les éléments constitutifs étant notamment le fait d'avoir retenu prisonnière ou privé de liberté une personne (M. NIGGLI / H. WIPRÄCHTIGER, B asler Kommentar Strafrecht I : Art. 1-110 StGB, Jugendstrafgesetz , 3 e éd., Bâle 2013, n. 26 ad art. 98 ; M. NIGGLI / H. WIPRÄCHTIGER, Basler Kommentar Strafrecht II : Art. 111-392 StGB , 3 e éd., Bâle 2013, n. 65 ad art. 183 ; R. ROTH / L. MOREILLON [éds], Commentaire romand, Code pénal I , 2009, n. 28 ad art. 98). Il en résulte que la prescription ne commence à courir que lorsque la personne retrouve sa liberté (B. CORBOZ, Les infractions en droit suisse , vol. I, 3 e éd., Berne 2010, n. 30 ad art. 183 et 184). S'agissant d'actes séparés et ponctuels, qui se sont déroulés à des moments différents durant plusieurs années, une unité d'action est exclue (ATF 131 IV 83 consid. 2.4 ; arrêt du Tribunal fédéral 6B_664/2015 du 18 septembre 2015 consid. 1.3). La commission de chacun des actes fait donc partir son propre délai de prescription au sens de l'art. 98 let. a CP.</w:t>
      </w:r>
    </w:p>
    <w:p>
      <w:r>
        <w:rPr>
          <w:b/>
        </w:rPr>
        <w:t>E. 2.3</w:t>
      </w:r>
    </w:p>
    <w:p>
      <w:r>
        <w:t>L'appelante soutient que sa fuite 16 février 2013 constituerait le point de départ de la prescription de la contrainte, de sorte qu'elle n'était pas acquise le jour du jugement de première instance, le 11 septembre 2015 (art. 97 al. 1 let. c a CP). La contrainte n'est pas un délit continu, contrairement à la séquestration. La commission de chaque acte fait dès lors partir son propre délai de prescription au sens de l'art. 98 let. a CP. D'éventuels faits constitutifs de contrainte commis avant le 11 septembre 2008 étaient dès lors prescrits le 11 septembre 2015, ce qui constitue un empêchement de procéder (art. 403 al. 1 let. c CPP). Au demeurant, on ne trouve rien dans l'acte d'accusation permettant d'identifier avec exactitude chaque acte de contrainte exercé par l'intimé durant l'année 2008. Il ne ressort pas davantage du dossier qu'un acte déterminé ait été commis antérieurement au 11 septembre 2008. Il ne fait certes aucun doute qu'un climat de peur et de tension permanente s'est instauré au cours de la relation entre l'intimé et l'appelante. Les agissements reprochés à l'intimé ont été fréquents et se sont étalés sur plusieurs années, ce qui a eu pour effet d'en diffuser les effets. Il n'empêche qu'il ressort des déclarations concordantes des parties et des témoins que la famille est certes arrivée à Genève en été 2008 (juillet), mais qu'elle n'a emménagé dans son propre logement qu'à la fin de l'année 2008 (mi-novembre), soit postérieurement au 11 septembre 2008. Or, des actes de contrainte antérieurs à l'époque où la famille disposait de son propre logement n'ont été évoqués ni par les parties, ni par les tiers auprès desquels elles ont vécu. Le jugement entrepris sera confirmé sur ce point.</w:t>
      </w:r>
    </w:p>
    <w:p>
      <w:r>
        <w:rPr>
          <w:b/>
        </w:rPr>
        <w:t>E. 3</w:t>
      </w:r>
    </w:p>
    <w:p>
      <w:r>
        <w:t>3.1.1.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séquestration consiste à maintenir la personne au lieu où elle se trouve sans droit (ATF 119 IV 216 consid. 2.a). Il n'est pas nécessaire que la privation de liberté dure longtemps, quelques minutes suffisent. Le moyen utilisé pour atteindre le résultat, c'est-à-dire priver la personne de sa liberté, n'est pas décrit par la loi. La personne peut être empêchée de partir par la menace ou par la violence (ATF 104 IV 170 consid. 2). On peut aussi imaginer que l'auteur lui enlève les moyens de s'en aller ou la place dans des conditions telles qu'elle se sent dans l'impossibilité de s'en aller (arrêt du Tribunal fédéral 6B_637/2011 du 13 avril 2012 consid. 3.3.1 et la doctrine citée). 3.1.2. Selon l'art. 184 al. 3 CP, la séquestration et l'enlèvement seront punis d'une peine privative de liberté d'un an au moins, si l'auteur a traité la victime avec cruauté. Pour qu'il y ait cruauté, il faut que l'auteur ajoute des souffrances qui ne sont pas déjà nécessairement liées à l'infraction de base, par sadisme, pour faire souffrir, par goût de la brutalité ou par insensibilité à la douleur d'autrui. Les circonstances dont on déduit la cruauté doivent être liées directement à la commission de l'infraction (ATF 119 IV 52 ). La cruauté envisagée implique une atteinte sérieuse au bien-être physique ou psychique qui va nettement au-delà de ce qui résulte inévitablement de l'atteinte à la liberté. Elle suppose que l'auteur inflige à la victime des souffrances particulières en raison de leur importance, de leur durée ou de leur répétition, manifestant ainsi une mentalité dénuée de sentiment et de pitié. Pour apprécier s'il y a eu cruauté, la personnalité de la victime et sa force de résistance doivent être prises en compte (M. NIGGLI / H. WIPRÄCHTIGER, op. cit. , n. 15 ad art. 184 ; B. CORBOZ, op. cit. , vol. II, n. 81 ss ad art. 184 et les références citées). Les souffrances et l'angoisse découlant du simple fait de la détention ne sont pas nécessairement la marque d'une cruauté particulière imputable à l'auteur qui séquestre une personne, sans quoi la séquestration serait toujours qualifiée. La cruauté envisagée par l'art. 184 CP implique des souffrances autres que celles, avant tout morales, qui découlent pour une personne du simple fait qu'elle est privée de sa liberté d'aller et de venir et de communiquer avec autrui (ATF 106 IV 367 consid. e). D'un point de vue subjectif, l'auteur doit connaître et vouloir ces souffrances particulières (ATF 106 IV 367 consid. d).</w:t>
      </w:r>
    </w:p>
    <w:p>
      <w:r>
        <w:rPr>
          <w:b/>
        </w:rPr>
        <w:t>E. 3.2</w:t>
      </w:r>
    </w:p>
    <w:p>
      <w:r>
        <w:t>En l'espèce, seule demeure litigieuse, au stade de l'appel, la circonstance aggravante de séquestration avec cruauté. Il ne ressort pas de l'acte d'accusation, qui décrit l'enfermement sans retenir de circonstances aggravantes, que l'intimé aurait traité l'appelante avec cruauté pendant les périodes de séquestration. À juste titre, puisque lorsque A______ et son fils étaient enfermés, l'intimé n'était pas présent. Il n'a ainsi pu leur causer des souffrances supplémentaires à celles nécessairement liées à l'infraction de base. Il n'a pas fait preuve d'une brutalité particulière ou de sadisme et n'a pas non plus manifesté une mentalité dénuée de sentiment ou de pitié. Sans que la pénibilité de la situation et les angoisses endurées par l'appelante ne soient remises en cause, il n'apparaît pas qu'il existe une atteinte sérieuse à son bien-être physique ou psychique allant nettement au-delà de ce qui résulte, inévitablement, de l'atteinte à sa liberté. Lorsqu'elle était séquestrée, l'appelante continuait certainement à avoir peur et à souffrir des injures reçues à d'autres moments de l'intimé. Ces comportements sont toutefois déjà appréhendés par les autres chefs d'infraction retenus. La durée de la période pénale, la fréquence et la répétition des périodes de séquestration sont des éléments dont il sera tenu compte dans l'appréciation de la faute de l'intimé et la fixation de sa peine. Partant, l'intimé n'a à juste titre pas été reconnu coupable de séquestration qualifiée et le jugement entrepris doit être confirmé sur ce point.</w:t>
      </w:r>
    </w:p>
    <w:p>
      <w:r>
        <w:rPr>
          <w:b/>
        </w:rPr>
        <w:t>E. 4</w:t>
      </w:r>
    </w:p>
    <w:p>
      <w:r>
        <w:t>4.1.1.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4.1.2.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130 III 699 consid. 5.1 ; arrêt du Tribunal fédéral 6B_1066/2014 du 27 février 2014 consid. 6.1.2). Le juge proportionne le montant à la gravité de l'atteinte subie et évite que la somme accordée n'apparaisse dérisoire à la victime (ATF 125 III 269 consid. 2a ; ATF 118 II 410 consid. 2 ; arrêt du Tribunal fédéral 6S.470/2002 du 5 mai 2003 consid. 2.1).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ATF 125 III 269 consid. 2a). Statuant selon les règles du droit et de l'équité (art. 4 du Code civil suisse du 10 décembre 1907 [CC ; RS 210]), le juge dispose d'un large pouvoir d'appréciation (ATF 132 II 117 consid. 2.2.3 in limine ; arrêt du Tribunal fédéral 6B_188/2010 du 4 octobre 2010 consid. 5.1.1).</w:t>
      </w:r>
    </w:p>
    <w:p>
      <w:r>
        <w:rPr>
          <w:b/>
        </w:rPr>
        <w:t>E. 4.2</w:t>
      </w:r>
    </w:p>
    <w:p>
      <w:r>
        <w:t>En l'espèce, les infractions dont l'appelante a été victime de façon répétée, à un jeune âge, sont sans conteste de nature à causer une souffrance morale importante, ce que l'intimé a d'ailleurs admis. Son quotidien a été entaché, pendant près de six ans, d'un calvaire dont son jeune fils a été le témoin. Les sévices ont eu lieu au sein du domicile familial, censé être un lieu de paix et de sécurité. La perte de l'estime de soi qu'a subie l'appelante n'en sera que plus difficile à restaurer. Cela étant, il n'apparaît pas – fort heureusement – que l'appelante ait subi des actes plus violents, notamment d'ordre sexuel, courants dans ce genre de configuration. Elle a pu travailler un peu et se rendre quelque fois au parc avec son fils. À teneur du certificat médical le plus récent, produit en première instance, l'appelante a cessé de bénéficier d'un suivi psychosocial au mois d'avril 2015, si bien que l'on peut supposer qu'elle va mieux. Les répercussions sur la vie professionnelle ne sont pas établies, étant précisé que l'appelante n'a donné aucune indication, notamment quant aux occasions qu'elle aurait manquées. Au vu de ce qui précède, le montant alloué par les premiers juges, de CHF 10'000.-, paraît adéquat, dans la mesure où il tient compte de toutes ces circonstances. Le jugement entrepris sera dès lors confirmé sur ce point.</w:t>
      </w:r>
    </w:p>
    <w:p>
      <w:r>
        <w:rPr>
          <w:b/>
        </w:rPr>
        <w:t>E. 5</w:t>
      </w:r>
    </w:p>
    <w:p>
      <w:r>
        <w:t>.1. Selon les art. 426 al. 1 et 428 al. 1 CPP, les frais de la procédure de première instance – que la CPAR est tenue de revoir lorsqu'elle rend une nouvelle décision (art. 428 al. 3 CPP) – et d'appel sont mis à la charge des parties dans la mesure où elles succombent. À teneur de l'art. 136 al. 2 CPP, l'assistance judiciaire accordée à la partie plaignante pour lui permettre de faire valoir ses prétentions civiles comprend notamment l'exonération des frais de procédure (let. b).</w:t>
      </w:r>
    </w:p>
    <w:p>
      <w:r>
        <w:rPr>
          <w:b/>
        </w:rPr>
        <w:t>E. 5.2</w:t>
      </w:r>
    </w:p>
    <w:p>
      <w:r>
        <w:t>En l'occurrence, le Tribunal de police a dû motiver le jugement après la formulation des appels par l'appelante et l'intimé, lequel a ensuite renoncé à agir par cette voie. L'émolument a été mis à charge des deux parties, pour moitié chacune (art. 9 al. 2 du règlement fixant le tarif des frais en matière pénale du 22 décembre 2010 [RTFMP - E 4 10.03]). Cette répartition ne tient pas compte du fait que l'appelante est au bénéfice de l'assistance judiciaire (art. 136 al. 2 let. b CPP). Le jugement sera dès lors modifié sur ce point.</w:t>
      </w:r>
    </w:p>
    <w:p>
      <w:r>
        <w:rPr>
          <w:b/>
        </w:rPr>
        <w:t>E. 6</w:t>
      </w:r>
    </w:p>
    <w:p>
      <w:r>
        <w:t>Pour le même motif, les frais de la procédure d'appel seront laissés à la charge de l'État.</w:t>
      </w:r>
    </w:p>
    <w:p>
      <w:r>
        <w:rPr>
          <w:b/>
        </w:rPr>
        <w:t>E. 7</w:t>
      </w:r>
    </w:p>
    <w:p>
      <w:r>
        <w:t>. 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7.2.1.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7.2.4. La Cour a en revanche décidé de revenir sur la pratique consistant à allouer aux avocats des victimes une indemnisation forfaitaire de 20% pour l'activité diverse, indépendamment du nombre d'heures effectivement consacré au dossier, estimant qu'il n'y a pas de raison objective de traiter différemment les conseils juridiques gratuits des victimes des défenseurs d'office des prévenus ( AARP/579/2014 du 19 décembre 2014 consid. 5.2). 7.2.5.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 7.3.1. En l'espèce, le Ministère public ne peut se prévaloir, au stade de l'indemnisation, de l'importance de la rémunération allouée aux deux conseils juridiques gratuits successifs de l'appelante, dans la mesure où il a préalablement accepté ce changement d'avocat au cours de la procédure. Dans son état de frais, M e B______ a, certes, majoré la présence à chacune des quatre audiences de huit fois 30 minutes de déplacement, mais le premier juge n'a pas tenu compte de cette durée supplémentaire. Il n'y a dès lors aucune raison de refuser au conseil juridique gratuit la rémunération forfaitaire de CHF 50.-, d'où une augmentation du montant alloué par le premier juge de CHF 200.-, correspondant à quatre fois 30 minutes de déplacement. Partant, le recours de M e B______ sera admis et son indemnité pour la procédure de première instance sera arrêtée à CHF 7'716.80, TVA à 8% en sus (CHF 617.34), soit un total de CHF 8'334.14. 7.4.1. En ce qui concerne l'activité déployée devant la juridiction d'appel, l'état de frais produit par le défenseur d'office de C______, M e D______, considéré dans sa globalité, paraît adéquat et conforme aux principes qui précèdent, de sorte qu'il n'est pas nécessaire de reprendre le détail des postes qui le composent. Il convient d'y ajouter une heure pour la durée de l'audience d'appel. Aussi, l'indemnité sera arrêtée à CHF 735.- correspondant à 45 minutes d'activité au tarif de 200.- /heure et à neuf heures au tarif de CHF 65.-/heure, plus la majoration forfaitaire de 10% (CHF 73.50) et l'équivalent de la TVA au taux de 8% en sus (CHF 64.68), soit un total de CHF 873.18.-. 7.4.2. L'état de frais relatif à la procédure d'appel produit par M e B______ paraît également, dans sa globalité, adéquat et conforme aux principes qui précèdent, de sorte qu'il n'est pas non plus nécessaire de reprendre le détail des postes qui le composent. Il convient d'y ajouter une heure pour la durée de l'audience d'appel. Aussi, l'indemnité sera arrêtée à CHF 1'500.- correspondant à sept heures au tarif de CHF 200.-/heure, incluant deux déplacements au taux forfaitaire de CHF 50.- (CHF 100.-), ainsi que la majoration forfaitaire de 10% (CHF 150.-), le " forfait LAVI " n'étant plus appliqué ( supra , consid. 7.2.4.), et l'équivalent de la TVA au taux de 8% en sus (CHF 132.-), soit un total de CHF 1'782.-.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