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P/3585/2017 vom 12. Juli 2019</w:t>
      </w:r>
    </w:p>
    <w:p>
      <w:r>
        <w:t>GE Cour de justice, 2019-07-12, FR</w:t>
      </w:r>
    </w:p>
    <w:p>
      <w:r>
        <w:rPr>
          <w:b/>
        </w:rPr>
        <w:t xml:space="preserve">Quelle: </w:t>
      </w:r>
      <w:r>
        <w:t>https://mcp.opencaselaw.ch/entscheid/ge_gerichte_P_3585_2017</w:t>
      </w:r>
    </w:p>
    <w:p>
      <w:r>
        <w:t>FR: GE_GERICHTE P/3585/2017 du 12 juillet 2019</w:t>
      </w:r>
    </w:p>
    <w:p>
      <w:r>
        <w:t>IT: GE_GERICHTE P/3585/2017 del 12 luglio 2019</w:t>
      </w:r>
    </w:p>
    <w:p>
      <w:pPr>
        <w:pStyle w:val="Heading2"/>
      </w:pPr>
      <w:r>
        <w:t>Regeste</w:t>
      </w:r>
    </w:p>
    <w:p>
      <w:r>
        <w:t>CP.146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 Pour qu'il y ait escroquerie, une simple tromperie ne suffit pas ;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disproportionnés ou ne peut être exigée pour des raisons commerciales (arrêts du Tribunal fédéral 6B_501/2014 du 27 octobre 2014 consid. 2.1 ; 6B_783/2009 du 12 janvier 2010 consid. 3.1). Tel est aussi le cas si la dupe, en raison de sa situation personnelle (faiblesse d'esprit, inexpérience, grand âge ou maladie), n'est pas en mesure de procéder à une vérification et que l'auteur exploite cette situation (ATF 120 IV 186 consid. 1a p. 188 ; par ex. arrêt du Tribunal fédéral 6B_130/2016 du 21 novembre 2016 consid. 2.2.2).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w:t>
      </w:r>
    </w:p>
    <w:p>
      <w:r>
        <w:rPr>
          <w:b/>
        </w:rPr>
        <w:t>E. 2.3</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w:t>
      </w:r>
    </w:p>
    <w:p>
      <w:r>
        <w:rPr>
          <w:b/>
        </w:rPr>
        <w:t>E. 2.4</w:t>
      </w:r>
    </w:p>
    <w:p>
      <w:r>
        <w:t>L'art. 97 al. 1 let. a LCR sanctionne quiconque fait usage d'un permis ou de plaques de contrôle qui n'étaient destinés ni à lui-même, ni à son véhicule. L'usage de plaques professionnelles est déterminé aux art. 24 et 25 de l'ordonnance sur l'assurance des véhicules du 20 novembre 1959 (OAV - RS 741.31) ; en particulier, l'usage de telles plaques est réservé aux courses liées à l'exploitation de l'entreprise (dépannage, remorquage, courses d'essai, expertises, etc.), et seuls peuvent conduire les véhicules immatriculés au moyen de ces plaques l'exploitant ou un des employés de l'entreprise.</w:t>
      </w:r>
    </w:p>
    <w:p>
      <w:r>
        <w:rPr>
          <w:b/>
        </w:rPr>
        <w:t>E. 2.5</w:t>
      </w:r>
    </w:p>
    <w:p>
      <w:r>
        <w:t>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w:t>
      </w:r>
    </w:p>
    <w:p>
      <w:r>
        <w:rPr>
          <w:b/>
        </w:rPr>
        <w:t>E. 2.6</w:t>
      </w:r>
    </w:p>
    <w:p>
      <w:r>
        <w:t>Sur le plan objectif, l'art. 180 al. 1 CP suppose la réalisation de deux conditions. Premièrement, il faut que l'auteur ait émis une menace grave, soit une menace objectivement de nature à alarmer ou à effrayer la victime. En second lieu, il faut que la victime ait été effectivement alarmée ou effrayée.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rPr>
          <w:b/>
        </w:rPr>
        <w:t>E. 2.7</w:t>
      </w:r>
    </w:p>
    <w:p>
      <w:r>
        <w:t>L'art. 91 al. 1 ch. 2 LCR réprime quiconque a conduit un véhicule automobile alors qu'il se trouve dans l'incapacité de conduire pour d'autres raisons [que l'état d'ébriété]. L'art. 2 al. 2 let. c de l'ordonnance sur les règles de la circulation routière du 13 novembre 1962 (OCR - RS 741.11) précise qu'un conducteur est réputé incapable de conduire chaque fois qu'il est prouvé que son sang contient de la cocaïne, étant précisé que selon l'art. 34 let. c de l'Ordonnance de l'OFROU concernant l'ordonnance sur le contrôle de la circulation routière du 22 mai 2008 (OOCCR-OFROU - RS 741.013.1), la présence de cocaïne est considérée comme prouvée lorsque sa quantité dans le sang atteint ou dépasse 15 µg/L.</w:t>
      </w:r>
    </w:p>
    <w:p>
      <w:r>
        <w:rPr>
          <w:b/>
        </w:rPr>
        <w:t>E. 2.8</w:t>
      </w:r>
    </w:p>
    <w:p>
      <w:r>
        <w:t>L'art. 115 al. 1 let. c LEI réprime quiconque exerce une activité lucrative sans autorisation en Suisse.</w:t>
      </w:r>
    </w:p>
    <w:p>
      <w:r>
        <w:rPr>
          <w:b/>
        </w:rPr>
        <w:t>E. 2.9</w:t>
      </w:r>
    </w:p>
    <w:p>
      <w:r>
        <w:t>Sur la base des faits retenus, la CPAR retient ce qui suit.</w:t>
      </w:r>
    </w:p>
    <w:p>
      <w:r>
        <w:rPr>
          <w:b/>
        </w:rPr>
        <w:t>E. 2.9.1</w:t>
      </w:r>
    </w:p>
    <w:p>
      <w:r>
        <w:t>Les faits commis au détriment de F______ et H______ sont constitutifs d'escroquerie. En effet, il ressort du dossier, s'agissant de la première, que l'appelant a dissimulé son identité derrière une raison sociale inexistante pour lui inspirer confiance, a profité de son inexpérience et de son deuil récent pour la convaincre de lui remettre son véhicule qu'il a revendu - vraisemblablement à un client en Valais - pour son propre compte tout en se soustrayant, par diverses manoeuvres, aux tentatives de la plaignante pour le retrouver et obtenir le paiement du prix convenu. La valeur effective du véhicule est établie à la fois par le contrat qui prévoyait un prix de CHF 4'500.- (que l'appelant, qui se dit professionnel de la vente de véhicules, n'aurait pas accepté s'il n'en était pas certain) et par ses promesses de remboursement, voire, in fine , par son acquiescement aux conclusions civiles. S'agissant du second, il ressort de la procédure que le prévenu s'est présenté à lui avec un mandat d'un médecin pour sa prise en charge ; sur cette base, le plaignant n'avait pas de raison de procéder à une vérification approfondie de l'identité et de la couverture d'assurance de son patient, pouvant à juste titre, s'agissant de surcroît d'une prestation individuelle dans le domaine des soins psychiatriques, se fonder sur les données figurant dans ce mandat et celles fournies par le plaignant. Le verdict de culpabilité doit donc être confirmé.</w:t>
      </w:r>
    </w:p>
    <w:p>
      <w:r>
        <w:rPr>
          <w:b/>
        </w:rPr>
        <w:t>E. 2.9.2</w:t>
      </w:r>
    </w:p>
    <w:p>
      <w:r>
        <w:t>Le formulaire de demande d'immatriculation relatif au véhicule Q______, tout comme le contrat d'assurance RC, ont été établis par l'appelant, au nom d'un tiers qui lui avait uniquement donné un accord de principe, sans finalisation, et n'avait donc aucunement la volonté ni d'être détenteur du véhicule, ni d'être titulaire de la police d'assurance. Il importe peu que ce tiers ait su ou même accepté initialement que son nom figurait sur ces documents ; en agissant de la sorte, le prévenu a trompé l'autorité (service des automobiles), respectivement l'assureur, sur l'identité de leur cocontractant, sur sa volonté de détenir un véhicule, voire sur sa solvabilité et a ainsi obtenu, par cette tromperie, l'immatriculation d'un véhicule dont il s'est ensuite lui-même servi pour circuler. Les documents falsifiés étaient destinés et aptes à obtenir une prestation de l'administration, respectivement la conclusion d'un contrat, et partant constitutifs de titres, l'appelant ayant d'ailleurs pris soin de se munir, pour achever sa tromperie, d'une pièce de légitimation au nom du tiers dont il a pris l'identité. L'appelant ne saurait se prévaloir d'une quelconque tolérance, puisque notamment le formulaire de demande d'immatriculation exige expressément la signature du détenteur du véhicule. Le verdict de culpabilité pour infraction à l'art. 251 CP doit donc être confirmé.</w:t>
      </w:r>
    </w:p>
    <w:p>
      <w:r>
        <w:rPr>
          <w:b/>
        </w:rPr>
        <w:t>E. 2.9.3</w:t>
      </w:r>
    </w:p>
    <w:p>
      <w:r>
        <w:t>L'appelant a admis avoir circulé avec des plaques professionnelles, dont l'usage est exclusivement réservé à l'entreprise à laquelle elles ont été délivrées. Ses explications sur une location de telles plaques ne sont pas compatibles avec la plainte déposée par ladite entreprise ; en tout état de cause, même si elles devaient s'avérer véridiques - ce qui paraît douteux mais ne nécessite pas d'être élucidé - l'appelant, en utilisant de telles plaques en dehors de toute activité liée au garage titulaire des plaques et sur un véhicule sans lien avec cette entreprise, a clairement violé l'art. 97 al. 1 let. a LCR ; le verdict de culpabilité doit également être confirmé.</w:t>
      </w:r>
    </w:p>
    <w:p>
      <w:r>
        <w:rPr>
          <w:b/>
        </w:rPr>
        <w:t>E. 2.9.4</w:t>
      </w:r>
    </w:p>
    <w:p>
      <w:r>
        <w:t>Il en va de même s'agissant de la conduite sous l'influence de la cocaïne, rien ne permettant de remettre en question les conclusions de l'expertise toxicologique. De même, la détention de cocaïne par l'appelant est établie et n'est d'ailleurs même pas sérieusement remise en question.</w:t>
      </w:r>
    </w:p>
    <w:p>
      <w:r>
        <w:rPr>
          <w:b/>
        </w:rPr>
        <w:t>E. 2.9.5</w:t>
      </w:r>
    </w:p>
    <w:p>
      <w:r>
        <w:t>Les injures encore reprochées à l'appelant n'ont pas été entendues par un autre que celui à qui elles ont été adressées. Cela étant, le plaignant se trouvait en compagnie d'un tiers lorsqu'il a entendu ces paroles au téléphone, tiers qui s'est rendu compte de leur teneur par la réaction outrée du plaignant. Ni le plaignant, ni le témoin n'avaient de raison de mentir à ce sujet et n'ont d'ailleurs pas exagéré leurs propos ; l'appelant lui-même a admis à demi-mots s'être emporté. Le verdict de culpabilité doit par conséquent être confirmé, la version du plaignant emportant la conviction.</w:t>
      </w:r>
    </w:p>
    <w:p>
      <w:r>
        <w:rPr>
          <w:b/>
        </w:rPr>
        <w:t>E. 2.9.6</w:t>
      </w:r>
    </w:p>
    <w:p>
      <w:r>
        <w:t>Le plaignant a expliqué à réitérées reprises avoir craint les gestes de l'appelant lorsque celui-ci a brandi son couteau dans sa direction ; le témoin a d'ailleurs tellement craint ce geste qu'il a fait appel à une patrouille qui se trouvait à proximité. Le fait de diriger un couteau vers une personne, dans un geste de colère et d'emportement tel que celui décrit par toutes les personnes présentes, est par ailleurs clairement de nature à susciter une crainte sérieuse pour son intégrité physique. Les deux éléments constitutifs objectifs de l'infraction de menace sont réalisés, et il n'est pas douteux que l'appelant ait agi intentionnellement : le verdict de culpabilité doit également être confirmé.</w:t>
      </w:r>
    </w:p>
    <w:p>
      <w:r>
        <w:rPr>
          <w:b/>
        </w:rPr>
        <w:t>E. 2.9.7</w:t>
      </w:r>
    </w:p>
    <w:p>
      <w:r>
        <w:t>Il en va de même s'agissant de l'exercice d'une activité sans autorisation. Nonobstant ses protestations, l'appelant n'est plus titulaire, depuis de nombreuses années, même s'il devait l'avoir été, d'une autorisation de travailler en Suisse. La tolérance dont il bénéficie dans l'attente d'une décision de l'autorité ne porte que sur le séjour en Suisse, et non sur l'exercice d'une activité lucrative. Le fait que l'appelant se soit astreint à payer des impôts, même s'il était avéré, n'y change rien, cette obligation étant liée à la génération d'un revenu, indépendamment du caractère licite de l'activité qui le génère. Le jugement entrepris doit donc, s'agissant de la culpabilité de l'appelant, être confirmé en tous points.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3.4. En l'espèce, la faute de l'appelant est importante. Il s'en est pris, sur une période pénale relativement longue, à différents biens juridiques (patrimoine, sécurité publique, autorité publique, santé publique, liberté et honneur). Il s'est affranchi des règles en matière de circulation routière et des décisions de l'autorité lui faisant interdiction de conduire en Suisse, à réitérées reprises, et de diverses manières, pour continuer à circuler et à exercer son activité dans le commerce de véhicules, ce alors qu'il faisait déjà l'objet de nombreuses condamnations pour des faits de même nature. Il a trompé ses cocontractants, par facilité et pour s'enrichir, sans égards au trouble que ce comportement a causé. Il s'est laissé emporter par la colère et a proféré injures et menaces à l'égard de personnes qui cherchaient simplement à obtenir leur dû. Il n'a guère coopéré à l'instruction des faits de la cause, mentant sciemment sur l'existence d'une autorisation de travail et niant l'évidence (consommation de cocaïne et conduite sous l'influence de cette substance, conduite sous retrait de permis, usage de plaques de garage...). Les infractions concourent entre elles, aggravant d'autant la peine menace (art. 49 CP). Sa situation personnelle ne comporte aucun élément justifiant de faire preuve d'une clémence particulière à son égard. A raison, l'appelant ne conteste pas le principe d'une peine ferme, qui s'impose tant au vu de ses antécédents que du pronostic défavorable qui doit être posé au vu de son comportement dans la procédure. Par ailleurs, le prononcé de peines pécuniaires n'a, par le passé, manifestement pas dissuadé l'appelant de récidiver, et celui-ci n'est de surcroît pas autorisé à exercer une activité lucrative en Suisse. Tout bien pesé, la peine prononcée par le premier juge, qui tient déjà compte de celle prononcée le 17 mai 2018 qui entre partiellement en concours rétrospectif avec les faits de la cause, apparaît conforme aux principes susmentionnés, proportionnée à la faute commise et adéquate. Il apparaît certes que le prévenu a encore fait l'objet d'une condamnation, antérieure au jugement entrepris mais dont le premier juge n'avait pas connaissance, du 9 mai 2019, à une peine privative de liberté de 180 jours. Néanmoins, si le premier juge avait eu à juger de ces faits dans leur ensemble, l'aggravation liée aux nouvelles infractions aurait été de l'ordre de six mois, la commission de nouvelles infractions alors que la procédure était pendante devant le juge de première instance étant le reflet d'une faute particulièrement grave. La peine privative de liberté pour les faits faisant l'objet de la présente cause doit ainsi être déclarée, de surcroît, complémentaire à celle prononcée le 9 mai 2019, sans qu'il ne se justifie de réduire pour ce motif la sanction prononcée.</w:t>
      </w:r>
    </w:p>
    <w:p>
      <w:r>
        <w:rPr>
          <w:b/>
        </w:rPr>
        <w:t>E. 4.1</w:t>
      </w:r>
    </w:p>
    <w:p>
      <w:r>
        <w:t>Selon l'art. 90a LCR, le tribunal peut ordonner la confiscation d'un véhicule automobile lorsque les règles de la circulation ont été violées gravement et sans scrupules et que cette mesure peut empêcher l'auteur de commettre d'autres violations graves des règles de la circulation (al. 1). Le tribunal peut ordonner la réalisation du véhicule automobile confisqué et l'utilisation du produit perçu après déduction des coûts de réalisation et des frais de procédure (al. 2).</w:t>
      </w:r>
    </w:p>
    <w:p>
      <w:r>
        <w:rPr>
          <w:b/>
        </w:rPr>
        <w:t>E. 4.2</w:t>
      </w:r>
    </w:p>
    <w:p>
      <w:r>
        <w:t>Les conditions de l'art. 90a al. 1 let. a LCR sont en principe remplies lorsqu'il existe un soupçon de violation grave et qualifiée des règles de la circulation (au sens des art. 90 al. 3 et 4 LCR). L'application de cette disposition n'est toutefois pas limitée aux cas crimes contre la circulation routière. Au contraire, une confiscation peut être prononcée pour d'autres infractions en matière de circulation routière. Le juge doit procéder à un examen de la dangerosité et déterminer si l'auteur est susceptible, s'il reste en possession du véhicule, de mettre en danger la sécurité routière à l'avenir ou si sa confiscation est apte à l'empêcher de commettre d'autres infractions routières graves (ATF 140 IV 133 consid. 3.4 ; arrêt du Tribunal fédéral 6B_148/2016 du 29 novembre 2016, consid. 1.3.3).</w:t>
      </w:r>
    </w:p>
    <w:p>
      <w:r>
        <w:rPr>
          <w:b/>
        </w:rPr>
        <w:t>E. 4.3</w:t>
      </w:r>
    </w:p>
    <w:p>
      <w:r>
        <w:t>En l'espèce, l'appelant, interdit de circuler en Suisse depuis 2012, s'affranchit de cette interdiction et recourt à tous les moyens possibles pour persister à conduire en Suisse, sans hésiter à prendre le volant d'un véhicule alors même qu'il n'est pas en état de le faire. La restitution du véhicule saisi est de nature à lui faciliter encore, si besoin était, la commission de nouvelles infractions. Etant interdit de conduire, il ne saurait se prévaloir d'un quelconque besoin de cette voiture, ce d'autant plus qu'il se trouve actuellement en détention pour une durée relativement longue. Compte tenu de la facilité avec laquelle il a réussi, dans la présente procédure, à se procurer divers véhicules, il n'est pas certain que la confiscation du véhicule I______ suffise à le détourner à l'avenir de récidiver ; cette mesure paraît néanmoins adéquate pour rendre de nouvelles infractions plus difficiles à commettre. Certes, la présente procédure ne comporte aucune infraction grave à la circulation routière au sens de l'art. 90 al. 2, 3 ou 4 LCR ; néanmoins, le comportement de l'appelant, tel qu'il ressort de la présente procédure, démontre son absence totale de considération pour la sécurité d'autrui et une prise de risque conséquente. Dans son principe, la confiscation de ce véhicule doit ainsi être confirmée, dans la mesure où elle est de nature à prévenir la commission de nouvelles infractions. A cela s'ajoute que l'appelant, en détention, ne dispose d'aucune ressource pour s'acquitter des frais de la procédure, de la peine pécuniaire et de l'amende. La confiscation et la réalisation du véhicule saisis sont susceptibles de permettre le recouvrement de ces frais et sanctions. La confiscation se justifie également de ce point de vue.</w:t>
      </w:r>
    </w:p>
    <w:p>
      <w:r>
        <w:rPr>
          <w:b/>
        </w:rPr>
        <w:t>E. 4.4</w:t>
      </w:r>
    </w:p>
    <w:p>
      <w:r>
        <w:t>Le jugement entrepris sera donc modifié quant au sort du véhicule séquestré, étant précisé que le solde éventuel, après déduction de la peine pécuniaire, de l'amende, des frais de procédure et des frais de réalisation, devra être restitué au prévenu. Aucune demande d'allocation au lésé au sens de l'art. 73 CP n'ayant été formée, il n'est pas possible de l'ordonner dans le présent arrêt. Cela étant, la partie plaignante pourra s'adresser au Tribunal d'application des peines et mesures pour solliciter l'allocation d'un éventuel solde en paiement de son indemnité (art. 73 al. 3 CP et 36 al. 2 let. e de la loi genevoise d'application du code pénal suisse et d'autres lois fédérales en matière pénale du 27 août 2009 [LaCP - E 4 10]).</w:t>
      </w:r>
    </w:p>
    <w:p>
      <w:r>
        <w:rPr>
          <w:b/>
        </w:rPr>
        <w:t>E. 5</w:t>
      </w:r>
    </w:p>
    <w:p>
      <w:r>
        <w:t>. L'appelant qui succombe pour l'essentiel, supportera les frais de la procédure envers l'Etat, comprenant un émolument de CHF 2'500.- (art. 428 CPP).</w:t>
      </w:r>
    </w:p>
    <w:p>
      <w:r>
        <w:rPr>
          <w:b/>
        </w:rPr>
        <w:t>E. 6</w:t>
      </w:r>
    </w:p>
    <w:p>
      <w:r>
        <w:t>6.1.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l'état de frais produit par le conseil de l'appelant paraît adéquat et conforme aux dispositions et principes qui précèdent, notamment du fait qu'il a été désigné comme défenseur d'office après l'audience de première instance et a dû prendre connaissance de la procédure ; il sera admis sans en reprendre le détail. Compte tenu de la détention hors canton, une indemnité de trois heures sera exceptionnellement allouée pour la conférence consécutive à la notification du présent arrêt. En conclusion, l'indemnité sera arrêtée à CHF 4'366.15 correspondant à 20 heures et demie d'activité au tarif de CHF 150.-/heure, deux heures au tarif de CHF 110.-/heure, plus la majoration forfaitaire de 20 %, auxquels s'ajoutent une vacation à la Cour de justice et l'équivalent de la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