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P/3545/2018 vom 24. November 2023</w:t>
      </w:r>
    </w:p>
    <w:p>
      <w:r>
        <w:t>GE Cour de justice, 2023-11-24, FR</w:t>
      </w:r>
    </w:p>
    <w:p>
      <w:r>
        <w:rPr>
          <w:b/>
        </w:rPr>
        <w:t xml:space="preserve">Quelle: </w:t>
      </w:r>
      <w:r>
        <w:t>https://mcp.opencaselaw.ch/entscheid/ge_gerichte_P_3545_2018</w:t>
      </w:r>
    </w:p>
    <w:p>
      <w:r>
        <w:t>FR: GE_GERICHTE P/3545/2018 du 24 novembre 2023</w:t>
      </w:r>
    </w:p>
    <w:p>
      <w:r>
        <w:t>IT: GE_GERICHTE P/3545/2018 del 24 novembre 2023</w:t>
      </w:r>
    </w:p>
    <w:p>
      <w:pPr>
        <w:pStyle w:val="Heading2"/>
      </w:pPr>
      <w:r>
        <w:t>Regeste</w:t>
      </w:r>
    </w:p>
    <w:p>
      <w:r>
        <w:t>INDEMNITÉ(EN GÉNÉRAL);TORT MORAL | CPP.429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À teneur de l'art. 429 al. 1 let. c CPP, le prévenu a droit, s'il est acquitté totalement ou en partie ou s'il bénéficie d'une ordonnance de classement, à une réparation du tort moral subi en raison d'une atteinte particulièrement grave à sa personnalité, notamment en cas de privation de liberté. 2.1.2. Lorsque, du fait de la procédure, le prévenu a subi une atteinte particulièrement grave à ses intérêts personnels au sens des art. 28 al. 2 du Code civil (CC) ou 49 du Code des obligations (CO), il aura droit à la réparation de son tort moral. L'intensité de l'atteinte à la personnalité doit être analogue à celle requise dans le contexte de l'art. 49 CO (ATF 143 IV 339 consid. 3.1 ; arrêts du Tribunal fédéral 6B_740/2016 du 2 juin 2017 consid. 3.2 ; 6B_928/2014 du 10 mars 2016 consid. 5.1, non publié in ATF 142 IV 163 ). 2.1.3. Une arrestation de plus de trois heures constitue une détention avant jugement qui peut donner lieu à indemnisation. Il convient toutefois de ne pas tenir compte de la durée d'un éventuel interrogatoire formel dans le décompte des heures, seul étant déterminante la période pendant laquelle la personne est retenue à la disposition des autorités (ATF 139 IV 243 = SJ 2014 I 161). Lorsqu'elle se situe à cheval sur deux jours mais que sa durée ne dépasse pas 24 heures, il n'y a lieu de retenir qu'un seul jour de détention avant jugement ; si elle dépasse 24 heures, il faut alors décompter deux jours (arrêt du Tribunal fédéral 6B_1100/2023 du 8 juillet 2024 consid. 2.3, destiné à la publication ; L. MOREILLON / A. MACALUSO / N. QUELOZ / N. DONGOIS (éds), Commentaire romand, Code pénal I, art. 1-110 CP, 2 ème éd., Bâle 2021, N 11 ad art. 51 CP).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(ATF 143 IV 339 consid. 3.1 ; arrêt du Tribunal fédéral 6B_984/2018 du 4 avril 2019 consid. 5.1). 2.1.4.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 arrêts du Tribunal fédéral 6B_740/2016 du 2 juin 2017 consid. 3.2 ; 6B_671/2016 du 17 mai 2017 consid. 2.1 ; 6B_118/2016 du 20 mars 2017 consid. 6.1 ; 6B_928/2014 du 10 mars 2016 consid. 5.1 non publié in ATF 142 IV 163 ). La gravité objective de l'atteinte doit être ressentie par le prévenu comme une souffrance morale. Pour apprécier cette souffrance, le juge se fondera sur la réaction de l'homme moyen dans un cas pareil, présentant les mêmes circonstances (ATF 128 IV 53 consid. 7a). Il incombe au prévenu de faire état des circonstances qui font qu'il a ressenti l'atteinte comme étant subjectivement grave (ATF 120 II 97 consid. 2b). La fixation du tort moral procède d'une appréciation des circonstances et l'autorité compétente bénéficie d'un large pouvoir d'appréciation en la matière (arrêt du Tribunal fédéral 6B_928/2014 précité ; ATF 130 III 699 consid. 5.1).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 et 6B_486/2015 du 25 mai 2016 consid. 4.1). 2.1.5. 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Genève, Bâle, Munich, 2003, n. 19 ad art. 42 et n. 3 ad art. 104). 2.2.1. En l'espèce, il n'est pas contesté que l'appelant a droit, sur le principe, à une indemnité en réparation du tort moral causé par la procédure. 2.2.2. La Cour relève que l'appelant a été retenu à la disposition des autorités de 06h58 le 20 février 2018 à 12h38 le lendemain, sous déduction de 5h07 d'audition, soit un total de 24h33 (29h40 – 5h07). C'est donc non pas un, mais deux jours de détention avant jugement, à CHF 200.- l'unité, qui doivent être indemnisés à ce titre, conformément aux principes sus-rappelés. 2.2.3. Pour ce qui a trait aux mesures de substitution, il est vrai qu'elles constituaient une ingérence importante de sa vie privée et familiale, bien que nécessaire au vu de la nature des faits reprochés. Cela étant, cette interdiction a porté atteinte à la liberté personnelle de l'appelant dans une mesure bien moindre qu'en cas de détention provisoire, ce qu'il perd de vue. De plus, outre le fait que les plaignants avaient d'ores et déjà pris la décision d'espacer voire de suspendre les relations personnelles avec l'appelant avant-même l'ouverture de la présente procédure, celui-ci n'a pas formulé une quelconque demande de révocation, pas plus qu'il n'a entrepris la moindre démarche pour renouer avec son fils et/ou son petit-fils une fois les mesures levées. À cet égard, quand bien même il n'existe pas de droit des grands-parents à l'exercice des relations personnelles, rien n'y faisait obstacle si ce n'est la volonté des parents de l'enfant ; or, contre cela, la procédure pénale ne pouvait rien. Celle-ci n'est pas davantage responsable de la décision individuelle de F______ de fréquenter ou non son propre père. Au vu de ce qui précède, la Cour est d'avis que la prise en compte des mesures de substitution à hauteur de 10% de leur durée, soit 18 jours, apparaît adéquate, voire généreuse en ce qu'elle correspond à ce qui est généralement pratiqué dans les cas d'interdiction de contact, de périmètre et/ou de quitter le sol suisse, soit un cumul de plusieurs restrictions. Leur indemnisation à hauteur de CHF 3'600.- sera donc confirmée. 2.2.4. Enfin, s'agissant de la réparation du tort moral dans sa globalité, la procédure pénale n'est pas la cause de la rupture des liens entre l'appelant et son petit-fils, s'agissant initialement d'une décision commune des parents prise avant son ouverture, puis essentiellement celle de la mère de l'enfant, devenue son seul parent gardien, étant précisé que même F______ déplore l'absence de contact avec son propre fils. Sans remettre en question les difficultés rencontrées par l'appelant depuis son inculpation, l'intensité des souffrances qu'il allègue doit être relativisée, étant sans commune mesure notamment avec celles ressenties par un parent lors de la perte d'un enfant mineur, pour lequel le montant demandé par l'appelant, soit CHF 30'000.-, est communément alloué (cf. AARP/203/2023 du 19 juin 2023, consid. 4.6.1 s.). L'appelant n'a en outre produit aucune pièce médicale permettant d'établir l'ampleur de l'atteinte à sa personnalité. Il ressort enfin de ses propres déclarations que sa santé fragile n'était en rien corrélée avec la présente cause, d'une part, et qu'un mois en Espagne lui a permis de se ressourcer, d'autre part. La Cour, devant ainsi statuer en équité, arrêtera à CHF 2'500.-, la quotité du préjudice moral de l'appelant, outre la détention subie, l'indemnité de CHF 1'200.- prononcée à ce titre apparaissant quelque peu insuffisante. 2.2.5. Au vu de ce qui précède, une indemnité de CHF 6'500.-, avec intérêts à 5% dès le 20 février 2018, sera allouée à A______, à titre de réparation du tort moral subi dans la présente procédure. Le jugement sera réformé dans ce sens.</w:t>
      </w:r>
    </w:p>
    <w:p>
      <w:r>
        <w:rPr>
          <w:b/>
        </w:rPr>
        <w:t>E. 3</w:t>
      </w:r>
    </w:p>
    <w:p>
      <w:r>
        <w:t>L'appel ayant été admis, il ne sera pas perçu de frais (art. 428 CPP a contrario).</w:t>
      </w:r>
    </w:p>
    <w:p>
      <w:r>
        <w:rPr>
          <w:b/>
        </w:rPr>
        <w:t>E. 4</w:t>
      </w:r>
    </w:p>
    <w:p>
      <w:r>
        <w:t>4.1.1.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4.1.2.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4.2</w:t>
      </w:r>
    </w:p>
    <w:p>
      <w:r>
        <w:t>En l'occurrence, seront retranchées de l'état de frais produit par Me B______, le temps consacré à l'annonce d'appel, la prise de connaissance du jugement motivé ainsi qu'à la déclaration d'appel, ces activités étant couvertes par le forfait. En outre, l'heure de travail sur dossier sera écartée, compte tenu de l'objet extrêmement restreint de l'appel, étant précisé que l'avocate connaissait le dossier pour l'avoir plaidé en première instance. En conclusion, la rémunération de M e B______ sera arrêtée à CHF 1'946.65 correspondant à 10h55 d'activité au tarif de CHF 150.-/heure (CHF 1'637.50), plus la majoration forfaitaire de 10% (CHF 163.75) et l'équivalent de la TVA au taux variant entre 7.7% et 8.1 % (CHF 9.50 + CHF 135.90).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