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P/353/2017 vom 3. Mai 2021</w:t>
      </w:r>
    </w:p>
    <w:p>
      <w:r>
        <w:t>GE Cour de justice, 2021-05-03, FR</w:t>
      </w:r>
    </w:p>
    <w:p>
      <w:r>
        <w:rPr>
          <w:b/>
        </w:rPr>
        <w:t xml:space="preserve">Quelle: </w:t>
      </w:r>
      <w:r>
        <w:t>https://mcp.opencaselaw.ch/entscheid/ge_gerichte_P_353_2017</w:t>
      </w:r>
    </w:p>
    <w:p>
      <w:r>
        <w:t>FR: GE_GERICHTE P/353/2017 du 3 mai 2021</w:t>
      </w:r>
    </w:p>
    <w:p>
      <w:r>
        <w:t>IT: GE_GERICHTE P/353/2017 del 3 maggio 2021</w:t>
      </w:r>
    </w:p>
    <w:p>
      <w:pPr>
        <w:pStyle w:val="Heading2"/>
      </w:pPr>
      <w:r>
        <w:t>Regeste</w:t>
      </w:r>
    </w:p>
    <w:p>
      <w:r>
        <w:t>AUDITION OU INTERROGATOIRE;TÉLÉPHONE;PREUVE ILLICITE | CPP.140; CPP.141; CPP.147</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 Ce nonobstant, le recours est, pour les raisons qui suivent, irrecevable, ce que la Chambre de céans peut constater d'emblée, sans échange d'écritures ni débats (art. 390 al. 2 et 5 a contrario CPP).</w:t>
      </w:r>
    </w:p>
    <w:p>
      <w:r>
        <w:rPr>
          <w:b/>
        </w:rPr>
        <w:t>E. 2</w:t>
      </w:r>
    </w:p>
    <w:p>
      <w:r>
        <w:t>ème édition, Bâle 2016, n. 12 ad art. 339 et la référence citée) –. Pour le Tribunal fédéral,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(ATF 144 IV 127 consid. 1.3.1). 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 ACPR/384/2016 du 23 juin 2016 ; ACPR/736/2017 du 30 octobre 2017 ; ACPR/23/2018 du 15 janvier 2018). Dans l'arrêt cité par le recourant ( 1B_91/2020 du 4 mars 2020 consid. 2.2), le Tribunal fédéral, après avoir rappelé les principes sus-énoncés, a examiné l'inexploitabilité, au sens des art. 140 et 141 al. 1 CPP, d'un moyen de preuve (vidéo) récolté par une personne privée. Il a estimé que l'inexploitabilité du moyen de preuve en cause, au sens des art. 140 et 141 al. 1 CPP, n'était pas manifeste et un risque de préjudice irréparable pour le prévenu n'était pas démontré.</w:t>
      </w:r>
    </w:p>
    <w:p>
      <w:r>
        <w:rPr>
          <w:b/>
        </w:rPr>
        <w:t>E. 2.1</w:t>
      </w:r>
    </w:p>
    <w:p>
      <w:r>
        <w:t>Selon le Tribunal fédéral, le législateur fédéral a exclu de vider les litiges relatifs aux preuves illégales avant le renvoi en justice du prévenu, en renonçant à ordonner la destruction immédiate des preuves viciées, en dehors des cas visés aux art. 271 al. 3, 277 al. 1 et 289 al. 6 CPP, cette question pouvant à nouveau être soulevée jusqu'à la clôture définitive de la procédure (arrêt du Tribunal fédéral 1B_423/2013 du 12 décembre 2013, avec référence à l'arrêt 1B_398/2012 du 17 juillet 2012 consid. 2 et les références citées). Ces considérations sont également valables s'agissant des preuves non exploitables, car,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Code de procédure pénale, Petit commentaire,</w:t>
      </w:r>
    </w:p>
    <w:p>
      <w:r>
        <w:rPr>
          <w:b/>
        </w:rPr>
        <w:t>E. 2.2</w:t>
      </w:r>
    </w:p>
    <w:p>
      <w:r>
        <w:t>En l'espèce, le recourant invoque la non-exploitabilité, selon l'art. 141 CPP cum 147 CPP, de certains passages de deux rapports de police, au motif qu'ils mentionnent des informations recueillies par les inspecteurs par téléphone, en violation selon lui de son droit à assister à l'administration des preuves, auprès de personnes appelées à donner des renseignements – revêtant depuis lors le statut de prévenues –. À l'aune des principes sus-énoncés, et dans la mesure où le recourant n'invoque pas une violation de l'art. 140 CPP, son recours est irrecevable (cf. ACPR/736/2017 du 30 octobre 2017). L'arrêt du Tribunal fédéral 1B_91/2020 précité ne lui est d'aucun secours, d'une part, car il ne déroge nullement aux principes rappelés ci-dessus; d'autre part, car il traite d'une problématique différente de celle examinée ici, soit l'inexploitabilité d'une preuve récoltée non par les autorités de poursuite pénale mais par une personne privée, qui plus est sous l'angle de l'art. 140 CPP, qui n'est pas invoqué ici.</w:t>
      </w:r>
    </w:p>
    <w:p>
      <w:r>
        <w:rPr>
          <w:b/>
        </w:rPr>
        <w:t>E. 3</w:t>
      </w:r>
    </w:p>
    <w:p>
      <w:r>
        <w:t>Le recourant, qui succombe, supportera les frais envers l'État, qui seront fixés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