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P/3537/2022 vom 2. März 2022</w:t>
      </w:r>
    </w:p>
    <w:p>
      <w:r>
        <w:t>GE Cour de justice, 2022-03-02, FR</w:t>
      </w:r>
    </w:p>
    <w:p>
      <w:r>
        <w:rPr>
          <w:b/>
        </w:rPr>
        <w:t xml:space="preserve">Quelle: </w:t>
      </w:r>
      <w:r>
        <w:t>https://mcp.opencaselaw.ch/entscheid/ge_gerichte_P_3537_2022</w:t>
      </w:r>
    </w:p>
    <w:p>
      <w:r>
        <w:t>FR: GE_GERICHTE P/3537/2022 du 2 mars 2022</w:t>
      </w:r>
    </w:p>
    <w:p>
      <w:r>
        <w:t>IT: GE_GERICHTE P/3537/2022 del 2 marzo 2022</w:t>
      </w:r>
    </w:p>
    <w:p>
      <w:pPr>
        <w:pStyle w:val="Heading2"/>
      </w:pPr>
      <w:r>
        <w:t>Regeste</w:t>
      </w:r>
    </w:p>
    <w:p>
      <w:r>
        <w:t>DÉCISION D'IRRECEVABILITÉ | CPP.410.al1.leta; CPP.412.al2</w:t>
      </w:r>
    </w:p>
    <w:p>
      <w:pPr>
        <w:pStyle w:val="Heading2"/>
      </w:pPr>
      <w:r>
        <w:t>Erwägungen</w:t>
      </w:r>
    </w:p>
    <w:p>
      <w:r>
        <w:rPr>
          <w:b/>
        </w:rPr>
        <w:t>E. 1</w:t>
      </w:r>
    </w:p>
    <w:p>
      <w:r>
        <w:t>1.1.1. La CPAR est l'autorité compétente en matière de révision (art. 21 al. 1 let. b du code de procédure pénale suisse [CPP] cum art. 130 al. 1 let. a de la Loi d'organisation judiciaire [LOJ]). Lorsque des contraventions font seules l'objet du prononcé attaqué et que la demande de révision ne vise pas une déclaration de culpabilité pour un crime ou un délit, la direction de la procédure statue (art. 129 al. 4 LOJ). 1.1.2.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1.1.3. La demande en révision en raison de faits ou de moyens de preuve nouveaux n'est soumise à aucun délai (art. 411 al. 2 in fine CPP). 1.1.4.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(ATF 130 IV 72 consid. 2.3 p. 75 s.). Il s'agit dans chaque cas d'examiner au regard des circonstances de l'espèce, si la demande de révision tend à contourner les voies de droit ordinaires (arrêts du Tribunal fédéral 6B_1214/2015 du 30 août 2016 consid. 2 ; 6B_980/2015 du 13 juin 2016 consid. 1.3.2). 1.1.5 .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(arrêts du Tribunal fédéral 6B_793/2014 du 20 janvier 2015 consid. 2.1.3 et 6B_36/2014 du 6 mai 2014 consid. 2.1).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1.2</w:t>
      </w:r>
    </w:p>
    <w:p>
      <w:r>
        <w:t>En l'espèce, la demande en révision apparaît d'emblée mal fondée. Le demandeur, qui savait avoir été déclaré en contravention par la police, devait s'attendre à un prononcé pénal. Dans ces conditions, il lui appartenait de prendre toutes dispositions aux fins de pouvoir prendre connaissance en temps et en heure de la décision rendue, respectivement la contester s'il s'y estimait fondé, les voies de droit lui ayant été dûment communiquées (cf. ATF 146 IV 30 consid. 1.1.2 ; arrêt du Tribunal fédéral 6B_723/2020 du 2 septembre 2020 consid. 1.1.1). En réalité, le demandeur ne présente aucun moyen de preuve nouveau et sérieux, inconnu de l'autorité inférieure, qu'il n'aurait pas pu faire valoir en formant opposition à l'ordonnance pénale dans les délais selon la procédure ordinaire. Sa demande est abusive et tend à contourner les voies de droit ordinaires. Dès lors, il ne sera pas entré en matière sur la demande de révision, laquelle est irrecevable.</w:t>
      </w:r>
    </w:p>
    <w:p>
      <w:r>
        <w:rPr>
          <w:b/>
        </w:rPr>
        <w:t>E. 2</w:t>
      </w:r>
    </w:p>
    <w:p>
      <w:r>
        <w:t>. Vu l'issue de la procédure, le demandeur sera condamné aux frais, lesquels comprennent un émolument de CHF 500.- (art. 428 al. 1 CPP a contrario et art. 14 al. 1 let. e du Règlement fixant le tarif des frais en matière pénale [RTFMP]). * * * * * PAR CES MOTIFS, L E PRÉSIDENT DE LA CHAMBRE PÉNALE D'APPEL ET DE RÉVISION : Déclare irrecevable la demande en révision formée par A______ contre l'ordonnance pénale n° 1______ rendue le 16 août 2021 par le Service des contraventions. Condamne A______ aux frais de la procédure en CHF 615.-, lesquels comprennent un émolument de CHF 500.-. Notifie le présent arrêt aux parties. La greffière : Melina CHODYNIECKI Le président : Vincent FOURNIER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40.00 Procès-verbal (let. f) CHF 00.00 Etat de frais CHF 75.00 Emolument de décision CHF 500.00 Total des frais de la procédure d'appel : CHF 615.00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