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P/3530/2014 vom 27. März 2018</w:t>
      </w:r>
    </w:p>
    <w:p>
      <w:r>
        <w:t>GE Cour de justice, 2018-03-27, FR</w:t>
      </w:r>
    </w:p>
    <w:p>
      <w:r>
        <w:rPr>
          <w:b/>
        </w:rPr>
        <w:t xml:space="preserve">Quelle: </w:t>
      </w:r>
      <w:r>
        <w:t>https://mcp.opencaselaw.ch/entscheid/ge_gerichte_P_3530_2014</w:t>
      </w:r>
    </w:p>
    <w:p>
      <w:r>
        <w:t>FR: GE_GERICHTE P/3530/2014 du 27 mars 2018</w:t>
      </w:r>
    </w:p>
    <w:p>
      <w:r>
        <w:t>IT: GE_GERICHTE P/3530/2014 del 27 marzo 2018</w:t>
      </w:r>
    </w:p>
    <w:p>
      <w:pPr>
        <w:pStyle w:val="Heading2"/>
      </w:pPr>
      <w:r>
        <w:t>Regeste</w:t>
      </w:r>
    </w:p>
    <w:p>
      <w:r>
        <w:t>RÉVISION(DÉCISION) ; NOUVEAU MOYEN DE FAIT ; RESPONSABILITÉ(DROIT PÉNAL) ; EXPERTISE | CPP.410.al1.leta; CP.19; CP.20</w:t>
      </w:r>
    </w:p>
    <w:p>
      <w:pPr>
        <w:pStyle w:val="Heading2"/>
      </w:pPr>
      <w:r>
        <w:t>Erwägungen</w:t>
      </w:r>
    </w:p>
    <w:p>
      <w:r>
        <w:rPr>
          <w:b/>
        </w:rPr>
        <w:t>E. 1</w:t>
      </w:r>
    </w:p>
    <w:p>
      <w:r>
        <w:t>La CPAR étant l'autorité compétente en matière de révision (art. 21 al. 1 let. b du code de procédure pénale suisse du 5 octobre 2007 [CPP - RS 312.0] cum art. 130 al. 1 let. a de la loi genevoise d'organisation judiciaire [LOJ ; E 2 05]), la demande de révision déposée le 14 novembre 2017, selon la forme prévue par la loi (art. 411 al. 1 CPP), est ainsi recevable. La demande n'est soumise à aucun délai (art. 411 al. 2 CPP a contrario ).![endif]&gt;![if&gt;</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du code pénal suisse du 21 décembre 1937 (CP - RS 311.0) selon laquelle les faits ou moyens de preuve invoqués doivent être nouveaux et sérieux (arrêts du Tribunal fédéral 6B_945/2016 du 14 juin 2017 consid. 1.2 ; 6B_310/2011 du 20 juin 2011 consid. 1.2, in SJ 2012 I p. 390).![endif]&gt;![if&gt;</w:t>
      </w:r>
    </w:p>
    <w:p>
      <w:r>
        <w:rPr>
          <w:b/>
        </w:rPr>
        <w:t>E. 2.2</w:t>
      </w:r>
    </w:p>
    <w:p>
      <w:r>
        <w:t>Un fait ou un moyen de preuve est inconnu, ou nouveau, lorsque le juge n'en a pas eu connaissance au moment où il s'est prononcé, c'est-à-dire lorsqu'il ne lui a pas été soumis sous quelque forme que ce soit (ATF 137 IV 59 consid. 5.1.2 p. 66 s. ; arrêt du Tribunal fédéral 6B_945/2016 du 14 juin 2017 consid. 1.2).![endif]&gt;![if&gt; Un fait ou un moyen de preuve est sérieux lorsqu'il est propre à ébranler les constatations de fait sur lesquelles se fonde la condamnation et que l'état de fait ainsi modifié rend possible un jugement sensiblement plus favorable au condamné (voir ATF 137 IV 59 consid. 5.1.4 p. 68 ; arrêt du Tribunal fédéral 6B_945/2016 du 14 juin 2017 consid. 1.2).</w:t>
      </w:r>
    </w:p>
    <w:p>
      <w:r>
        <w:rPr>
          <w:b/>
        </w:rPr>
        <w:t>E. 2.3</w:t>
      </w:r>
    </w:p>
    <w:p>
      <w:r>
        <w:t>Les conditions d'une révision visant une ordonnance pénale sont restrictives.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 arrêts du Tribunal fédéral 6B_1138/2014 du 16 janvier 2015 consid. 1.3 et 6B_310/2011 du 20 juin 2011 consid. 1.3).![endif]&gt;![if&gt;</w:t>
      </w:r>
    </w:p>
    <w:p>
      <w:r>
        <w:rPr>
          <w:b/>
        </w:rPr>
        <w:t>E. 2.4</w:t>
      </w:r>
    </w:p>
    <w:p>
      <w:r>
        <w:t>En l'espèce, le demandeur en révision (ci-après : le demandeur) allègue, à titre de fait nouveau, avoir été dans un état dépressif majeur sévère chronique et résistant au moment des faits. Il est constaté que le Ministère public n'en avait pas eu connaissance au moment d'examiner sa culpabilité, même si le demandeur avait évoqué être dans l'attente d'une décision de l'OCAS, ce dont il ne pouvait être déduit qu'il souffrait de troubles psychiques. Cette allégation est ainsi nouvelle. Or le demandeur ne pouvait l'ignorer au moment du prononcé des ordonnances, étant directement touché par lesdits troubles. La question de l'abus de droit au sens de la jurisprudence susmentionnée est cependant laissée ouverte, au vu de ce qui suit. Le demandeur prétend que son état dépressif aurait dû mener à une atténuation de sa peine, voire à son acquittement, étant donné que son état psychique l'avait rendu " irresponsable, respectivement dans une situation de responsabilité restreinte ". Il convient d'examiner si cette nouvelle allégation est sérieuse au sens de la jurisprudence précitée.</w:t>
      </w:r>
    </w:p>
    <w:p>
      <w:r>
        <w:rPr>
          <w:b/>
        </w:rPr>
        <w:t>E. 2.5</w:t>
      </w:r>
    </w:p>
    <w:p>
      <w:r>
        <w:t>Les conséquences de l'irresponsabilité totale ou restreinte d'un auteur sont prévues à l'art. 19 CP. En effet, aux termes de cet article,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L'art. 20 CP prescrit au juge d'ordonner une expertise s'il existe une raison sérieuse de douter de la responsabilité de l'auteur. Selon la jurisprudence,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jurisprudence relative à l'art. 13 al. 1 a CP applicable à l'art 20 CP [ cf . Message concernant la modification des dispositions générales du code pénal et du code pénal militaire, FF 1999 p. 1813]). À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cf . ATF 133 IV 145 consid. 3.3 p. 147 et les exemples cités ; ATF 116 IV 273 consid. 4a p. 274 ; 102 IV 74 consid. 1b p. 75 s.).</w:t>
      </w:r>
    </w:p>
    <w:p>
      <w:r>
        <w:rPr>
          <w:b/>
        </w:rPr>
        <w:t>E. 2.6</w:t>
      </w:r>
    </w:p>
    <w:p>
      <w:r>
        <w:t>En l'espèce, les pièces versées à la procédure n'attestent ni ne rendent vraisemblable son état dépressif au moment des faits. Certes, la décision de l'office AI du 4 août 2014 démontre une incapacité de travail depuis 2012, mais les motifs de ladite incapacité n'en ressortent pas. Au vu de ce qui suit, il n'est cependant pas nécessaire de savoir si ce fait est établi ou non. En effet, force est de constater que le demandeur n'a pas concrètement exposé en quoi il n'avait pas pu se rendre compte, en raison de son état dépressif, qu'il engageait quelqu'un sans les autorisations nécessaires ou, autrement dit, qu'il avait été privé de sa volonté et/ou de sa conscience au sujet des éléments constitutifs de l'art. 117 LEtr (cf. notamment L. MOREILLON / A. PAREIN-REYMOND, Petit commentaire CPP , 2 e éd., Bâle 2016, ad art. 19 N 8 et N 14). Par ailleurs, sur la base du dossier, il n'y a pas d'indices sérieux propres à faire douter de la responsabilité pleine et entière du demandeur au moment des faits reprochés. En effet, les déclarations du demandeur à la police sont claires, cohérentes, précises et logiques, ceci excluant une mauvaise compréhension du français. Elles sont corroborées par les déclarations de l'employé interpellé, concordantes s'agissant de l'essentiel des faits. La police n'a en outre pas fait état de comportement contradictoire ou aberrant, ni d'une quelconque opposition de sa part à être considéré comme gérant des commerces. Le demandeur s'est d'ailleurs présenté dans les deux affaires sur convocation à la police, ceci montrant sa capacité à gérer, dans une certaine mesure, ses affaires et à réagir aux sollicitations des autorités. Le fait d'avoir affirmé dans son opposition tardive, trois ans après les faits, ne pas connaitre l'employé ne saurait démontrer un défaut de conscience et/ou de volonté lors de la période pénale, ni d'ailleurs le fait qu'il déclare ne jamais avoir été inquiété par les autorités lors de sa seconde audition par la police. Par ailleurs, ne figurent à la procédure aucun autre type d'indice susceptible d'entrainer des doutes quant à sa responsabilité, tels que le prononcé de mesures de protection de l'adulte, une hospitalisation pendant la période pénale ou une dépendance à des substances. Le diagnostic et les symptômes sont exposés par son psychiatre pour une période postérieure à la période pénale et ne paraissent pas avoir une influence sur la conscience et la volonté du demandeur d'employer une personne sans les autorisations nécessaires, acte ne correspondant par ailleurs pas à " la gestion de (…) courriers, tâches administratives, relations et communications ". Ainsi, la nouvelle allégation du demandeur, selon laquelle il se trouvait dans un état dépressif majeur sévère chronique et résistant, n'est pas de nature à ébranler les constatations de fait du Ministère public sur lesquelles se fonde la condamnation. Par ailleurs, on ne voit pas en quoi le prononcé d'une expertise psychiatrique changerait à ce résultat, en particulier au vu des éléments exposés ci-dessus, dès lors qu'il n'existe pas d'indices sérieux propres à faire douter de sa responsabilité pleine et entière au moment des faits reprochés. Dès lors, il n'existe pas de motif permettant d'admettre la révision des ordonnances pénales en cause. La demande sera ainsi rejetée et les mesures provisoires annulées (art. 413 al. 1 CPP). L'établissement des faits retenus par le Ministère public ne sera en conséquence pas examiné, la qualité d'employeur au sens de l'art. 117 LEtr et le calcul du montant des jours-amende étant des questions de droit, et non des faits nouveaux dont le demandeur n'avait pas connaissance au moment de sa condamnation. Au sujet de l'exécution de la peine privative de liberté de substitution, le demandeur est avisé qu'il lui reste éventuellement la possibilité de requérir la suspension de ladite peine (voir art. 36 al. 3 aCP).</w:t>
      </w:r>
    </w:p>
    <w:p>
      <w:r>
        <w:rPr>
          <w:b/>
        </w:rPr>
        <w:t>E. 3</w:t>
      </w:r>
    </w:p>
    <w:p>
      <w:r>
        <w:t>Le demandeur, qui succombe, sera condamné au paiement des frais de la procédure de révision envers l'État (art. 428 CPP), comprenant dans leur totalité un émolument de CHF 1'500.- (art. 14 let. e du règlement fixant le tarif des frais en matière pénale du 22 décembre 2010 [RTFMP – E 4 10.03]).![endif]&gt;![if&gt;</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saisine.![endif]&gt;![if&gt; 4.2.1. Selon l'art. 135 al. 1 CPP, le défenseur d'office est indemnisé conformément au tarif des avocats de la Confédération ou du canton du for du procès. Selon l'art. 16 du règlement sur l'assistance juridique du 28 juillet 2010 (RAJ ; E 2 05.04), applicable aux affaires soumises à la juridiction cantonale genevoise, l'indemnité, en matière pénale, est calculée selon le tarif horaire suivant, débours de l'étude inclus : avocat stagiaire CHF 65.- (let. a) ; chef d'étude CHF 200.- (let. c). En cas d'assujettissement, l'équivalent de la TVA est versé en sus. Au sens de l'art 16. al. 2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 4.2.3. Il ne revient pas à l'État d'assumer la charge financière de la formation de l'avocat stagiaire, laquelle incombe à son maître de stage ( AARP/401/2017 du 6 décembre 2017 ; AARP/170/2017 du 28 mars 2017 ; AARP/147/2016 du 17 mars 2016 ; AARP/302/2013 du 14 juin 2013 ; AARP/267/2013 du 7 juin 2013). 4.2.4.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w:t>
      </w:r>
    </w:p>
    <w:p>
      <w:r>
        <w:rPr>
          <w:b/>
        </w:rPr>
        <w:t>E. 4.3</w:t>
      </w:r>
    </w:p>
    <w:p>
      <w:r>
        <w:t>En l'occurrence, les frais imputables à la défense d'office seront réduits de 2 heures pour l'activité comportant 7 heures (rédaction du mémoire de demande en révision par le Conseil), de 1 heure pour l'activité comportant 2 heures et 30 minutes (rédaction des observations par le stagiaire) et de 30 minutes pour les activités de 2 heures (étude du dossier par le Conseil puis le stagiaire), excessifs dans ce dossier dénué de complexité. Sera aussi retranchée la relecture du projet d'observation rédigé par le stagiaire, la formation de ce dernier ne devant pas être indemnisée. Sous réserve de ce qui précède, la durée de l'activité est conforme aux principes susmentionnés.</w:t>
      </w:r>
    </w:p>
    <w:p>
      <w:r>
        <w:rPr>
          <w:b/>
        </w:rPr>
        <w:t>E. 4.4</w:t>
      </w:r>
    </w:p>
    <w:p>
      <w:r>
        <w:t>L'indemnité sera ainsi arrêtée à CHF 2'541.80 correspondant à 8 heures et 45 minutes d'activité au tarif de CHF 200.-/heure (CHF 1'750.-) et à 3 heures et 15 minutes d'activité au tarif de CHF 65.- (CHF 211.25), plus la majoration forfaitaire de 20 % (CHF 392.25) et l'équivalent de la TVA de 8% en sus en application des dispositions transitoires du Pouvoir judiciaire (CHF 188.28).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