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P/3522/2025 vom 7. Mai 2025</w:t>
      </w:r>
    </w:p>
    <w:p>
      <w:r>
        <w:t>GE Cour de justice, 2025-05-07, FR</w:t>
      </w:r>
    </w:p>
    <w:p>
      <w:r>
        <w:rPr>
          <w:b/>
        </w:rPr>
        <w:t xml:space="preserve">Quelle: </w:t>
      </w:r>
      <w:r>
        <w:t>https://mcp.opencaselaw.ch/entscheid/ge_gerichte_P_3522_2025</w:t>
      </w:r>
    </w:p>
    <w:p>
      <w:r>
        <w:t>FR: GE_GERICHTE P/3522/2025 du 7 mai 2025</w:t>
      </w:r>
    </w:p>
    <w:p>
      <w:r>
        <w:t>IT: GE_GERICHTE P/3522/2025 del 7 maggio 2025</w:t>
      </w:r>
    </w:p>
    <w:p>
      <w:pPr>
        <w:pStyle w:val="Heading2"/>
      </w:pPr>
      <w:r>
        <w:t>Regeste</w:t>
      </w:r>
    </w:p>
    <w:p>
      <w:r>
        <w:t>PROFIL D'ADN | CPP.255.al1bis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l'infraction à la LEI reprochée dans le cadre de la P/3522/2025 en cours d'instruction, mais d'autres éventuels actes contraires à la LStup, dès lors qu'il a déjà été soupçonné pour des faits similaires. À cet égard, il existe des indices sérieux et concrets de la commission, par le recourant, de tels actes punissables. En effet, il est tout d'abord soupçonné d'avoir, le 11 octobre 2024, vendu une demi-boulette de cocaïne à une toxicomane à la rue 1______ no. 3______, à Genève. Que l'intéressé persiste à contester ces faits – nonobstant sa mise en cause formelle par un policier (cf. audience du 17 janvier 2025) – n'est ainsi pas suffisant pour annihiler tout soupçon à son égard, au contraire. Ensuite, quand bien même aucune condamnation n'est inscrite à son casier judiciaire suisse, sa situation personnelle – absence de domicile fixe et d'activité professionnelle –, laissent craindre qu'il pourrait être impliqué dans d'autres infractions à la LStup encore inconnues des autorités, qui pourraient lui être attribuées si l'on était en mesure de comparer son profil d'ADN à des traces prélevées sur les lieux de leurs commissions. Ce risque est d'autant plus à craindre que l'intéressé a été interpellé à deux reprises, à brève échéance, à la rue 1______ nos. 2______ et 3______, répertoriée comme un haut-lieu du trafic de stupéfiants à Genève. Enfin, les infractions à la LStup susceptibles d'être élucidées revêtent une certaine gravité. Il s'agit d'ailleurs d'un des cas expressément listés par la Directive A.5 du Procureur général (cf. n. 4.3) qui justifie l'établissement d'un profil d'ADN pour les infractions passées. L'arrêt de la Chambre de céans cité par le recourant – qui annule une décision du Ministère public ordonnant l'établissement d'un profil d'ADN – ne lui est d'aucun secours et ne saurait donc être transposé ici. Dans ladite affaire, en particulier, le prévenu n'était soupçonné que d'infraction à la LEI – l'absorption par lui d’un parachute de stupéfiants n’ayant pas été retenue –. Tel n'est pas le cas ici, le recourant étant, comme on l'a vu, également soupçonné d'infraction à l'art. 19 LStup. Partant, la mesure querellée n'apparaît aucunement inutile ni disproportionnée. Que son coût soit éventuellement mis à la charge du recourant – ce qui n'est pas évident à ce stade, dès lors que cette question ne se posera qu'à l'issue de la procédure et à la condition que l'intéressé soit condamné – n'est donc pas pertinent.</w:t>
      </w:r>
    </w:p>
    <w:p>
      <w:r>
        <w:rPr>
          <w:b/>
        </w:rPr>
        <w:t>E. 3</w:t>
      </w:r>
    </w:p>
    <w:p>
      <w:r>
        <w:t>Justifiée, l'ordonnance attaquée sera donc confirmée.</w:t>
      </w:r>
    </w:p>
    <w:p>
      <w:r>
        <w:rPr>
          <w:b/>
        </w:rPr>
        <w:t>E. 4</w:t>
      </w:r>
    </w:p>
    <w:p>
      <w:r>
        <w:t>Le recourant sollicite l'assistance judiciaire pour le recours.</w:t>
      </w:r>
    </w:p>
    <w:p>
      <w:r>
        <w:rPr>
          <w:b/>
        </w:rPr>
        <w:t>E. 4.1</w:t>
      </w:r>
    </w:p>
    <w:p>
      <w:r>
        <w:t>L'art. 29 al. 3 Cst féd. soumet l'octroi d'une telle assistance à la condition que le procès soutenu par l'indigent qui la réclame ne paraisse pas dépourvu de toute chance de succès. Tel n'est pas le cas quand les perspectives de gagner ce procès sont notablement plus faibles que les risques de le perdre, et qu'elles ne peuvent donc pas être considérées comme sérieuses, de sorte qu'une personne raisonnable et de condition aisée renoncerait à s'y engager en raison des frais qu'elle s'exposerait à devoir supporter (arrêt du Tribunal fédéral 7B_68/2022 du 6 mars 2024 consid. 4.2).</w:t>
      </w:r>
    </w:p>
    <w:p>
      <w:r>
        <w:rPr>
          <w:b/>
        </w:rPr>
        <w:t>E. 4.2</w:t>
      </w:r>
    </w:p>
    <w:p>
      <w:r>
        <w:t>En l'occurrence, l'indigence du recourant peut être présumée. On ne peut également pas dire que ses griefs étaient d'emblée dénués de chance de succès. L'assistance judiciaire pour le recours sera ainsi admise et son conseil désigné comme défenseur d'office.</w:t>
      </w:r>
    </w:p>
    <w:p>
      <w:r>
        <w:rPr>
          <w:b/>
        </w:rPr>
        <w:t>E. 4.3</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Seules les heures nécessaires sont retenues; elles sont appréciées en fonction, notamment, de la nature, l'importance et les difficultés de la cause, de la qualité du travail fourni et du résultat obtenu (art. 16 al. 2 RAJ).</w:t>
      </w:r>
    </w:p>
    <w:p>
      <w:r>
        <w:rPr>
          <w:b/>
        </w:rPr>
        <w:t>E. 4.4</w:t>
      </w:r>
    </w:p>
    <w:p>
      <w:r>
        <w:t>En l'occurrence, le recourant chiffre et détaille l'activité de son conseil pour la procédure par-devant la Chambre de céans, note d'honoraires à l'appui, à CHF 1'026,95, TVA comprise, correspondant à 4h45 au tarif horaire de CHF 200.-, soit 1h30 d'entretien à l'Étude, 2h15 pour la rédaction du recours et 1h00 pour la consultation et l'analyse du dossier. La problématique juridique étant clairement circonscrite, elle ne nécessitait pas 1h30 d'entretien avec le client. Seule 1h00 sera admise à ce titre. Le temps consacré à la rédaction du recours (six pages, dont deux pages de garde et de conclusions), sera réduit à 1h30, ce temps incluant également la brève réplique consistant principalement en la reprise in extenso d'un passage de l' ACPR/642/2024 . L'heure consacrée à la consultation et l'analyse du dossier sera pour sa part admise. Une indemnité correspondant ainsi à 3h30 d'activité, au tarif horaire demandé, plus la TVA, sera allouée.</w:t>
      </w:r>
    </w:p>
    <w:p>
      <w:r>
        <w:rPr>
          <w:b/>
        </w:rPr>
        <w:t>E. 5</w:t>
      </w:r>
    </w:p>
    <w:p>
      <w:r>
        <w:t>Le recourant, qui succombe, supportera les frais envers l'État, fixés en totalité à CHF 500.-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