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P/351/2016 vom 11. September 2020</w:t>
      </w:r>
    </w:p>
    <w:p>
      <w:r>
        <w:t>GE Cour de justice, 2020-09-11, FR</w:t>
      </w:r>
    </w:p>
    <w:p>
      <w:r>
        <w:rPr>
          <w:b/>
        </w:rPr>
        <w:t xml:space="preserve">Quelle: </w:t>
      </w:r>
      <w:r>
        <w:t>https://mcp.opencaselaw.ch/entscheid/ge_gerichte_P_351_2016</w:t>
      </w:r>
    </w:p>
    <w:p>
      <w:r>
        <w:t>FR: GE_GERICHTE P/351/2016 du 11 septembre 2020</w:t>
      </w:r>
    </w:p>
    <w:p>
      <w:r>
        <w:t>IT: GE_GERICHTE P/351/2016 del 11 settembre 2020</w:t>
      </w:r>
    </w:p>
    <w:p>
      <w:pPr>
        <w:pStyle w:val="Heading2"/>
      </w:pPr>
      <w:r>
        <w:t>Regeste</w:t>
      </w:r>
    </w:p>
    <w:p>
      <w:r>
        <w:t>RETARD INJUSTIFIÉ;PRINCIPE DE LA CÉLÉRITÉ | Cst.29; CPP.5</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 la partie plaignante, qui a qualité pour agir, ayant un intérêt juridiquement protégé à obtenir une décision de l'instance sollicitée comme cela sera exposé ci-après (art. 104 al.1 lit. b et 382 CPP). Partant, il est recevable.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 3e éd., Zurich 2011, n. 187).</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2.3</w:t>
      </w:r>
    </w:p>
    <w:p>
      <w:r>
        <w:t>En l'espèce, le recourant, qui est régulièrement intervenu pour relancer le Ministère public depuis novembre 2017, invoque à tort une prétendue inaction de ce dernier durant 17 mois, soit du 19 octobre 2017 au 9 avril 2019. L'examen du dossier démontre au contraire que l'autorité n'est pas restée inactive durant cette période. Par suite des demandes du recourant, le Procureur a versé au dossier de nouvelles pièces, le 30 janvier 2018, qu'il a préalablement dû obtenir. Le 2 juillet 2018, il a adressé aux parties un projet de mandat d'expertise graphologique qu'il entendait confier à la BPTS, et lorsque celle-ci l'a informé, le 8 janvier 2019, ne pas pouvoir réaliser cette mission, il l'a rapidement confiée à un autre expert, le 9 avril 2019. Le temps nécessaire à la réalisation de l'expertise a été rallongé en raison de la nécessité, pour l'expert, de recueillir des échantillons d'écriture du prévenu. Le rapport a toutefois été rendu dans un délai raisonnable, le 27 septembre 2019. À réception dudit rapport, le Ministère public a invité les parties à lui faire part de leur détermination. Il a reçu les dernières observations le 15 janvier 2020. Prise dans sa globalité, l'instruction de la cause ne consacre donc pas de violation du principe de la célérité. On relève toutefois, avec le recourant, qu'aucun acte d'instruction n'a été effectué depuis mi-janvier 2020. Si l'épidémie de la covid 19 a, durant deux mois environ à compter de mi-mars 2020, ralenti, voire mis à l'arrêt, les procédures sans prévenu détenu, la mention du Procureur, le 1 er juillet 2020, qu'aucun acte d'instruction complémentaire " n'est, en l'état, planifié ", dans la présente procédure, n'apparaît pas justifiée. Le Procureur a, certes, par la suite, tempéré cette affirmation dans ses observations du 20 août 2020, exposant que l'instruction se poursuivra en automne 2020. En l'état du dossier, rien ne paraît toutefois avoir été agendé. Il résulte de ce qui précède, que si le principe de la célérité n'est en l'espèce pas violé, l'instruction, qui n'a plus connu d'actes depuis mi-janvier 2020 - sous réserve de deux mois excusables -, doit désormais être poursuivie sans relâche. Pour cela, un délai au 30 septembre 2020 sera imparti au Ministère public pour qu'il se prononce sur les actes d'instruction requis par les parties, et, s'il entend procéder à de nouvelles auditions - dont la dernière a eu lieu le 19 octobre 2017 - pour fixer leur date dans le courant de l'automne 2020.</w:t>
      </w:r>
    </w:p>
    <w:p>
      <w:r>
        <w:rPr>
          <w:b/>
        </w:rPr>
        <w:t>E. 3</w:t>
      </w:r>
    </w:p>
    <w:p>
      <w:r>
        <w:t>Partiellement fondé, le recours sera admis dans la mesure sus-exposée.</w:t>
      </w:r>
    </w:p>
    <w:p>
      <w:r>
        <w:rPr>
          <w:b/>
        </w:rPr>
        <w:t>E. 4</w:t>
      </w:r>
    </w:p>
    <w:p>
      <w:r>
        <w:t>Le recourant, qui succombe partiellement, supportera la moitié des frais envers l'État, qui seront fixés en totalité à CHF 900.- (art. 428 al. 1 CPP et 13 al. 1 du Règlement fixant le tarif des frais en matière pénale, RTFMP ; E 4 10.03).</w:t>
      </w:r>
    </w:p>
    <w:p>
      <w:r>
        <w:rPr>
          <w:b/>
        </w:rPr>
        <w:t>E. 5</w:t>
      </w:r>
    </w:p>
    <w:p>
      <w:r>
        <w:t>La procédure n'étant pas terminée, il n'y a pas lieu d'indemniser, à ce stade (cf. art. 138 al. 1 cum 135 al. 2 CPP), le conseil juridique gratuit.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