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P/347/2010 vom 28. September 2015</w:t>
      </w:r>
    </w:p>
    <w:p>
      <w:r>
        <w:t>GE Cour de justice, 2015-09-28, FR</w:t>
      </w:r>
    </w:p>
    <w:p>
      <w:r>
        <w:rPr>
          <w:b/>
        </w:rPr>
        <w:t xml:space="preserve">Quelle: </w:t>
      </w:r>
      <w:r>
        <w:t>https://mcp.opencaselaw.ch/entscheid/ge_gerichte_P_347_2010</w:t>
      </w:r>
    </w:p>
    <w:p>
      <w:r>
        <w:t>FR: GE_GERICHTE P/347/2010 du 28 septembre 2015</w:t>
      </w:r>
    </w:p>
    <w:p>
      <w:r>
        <w:t>IT: GE_GERICHTE P/347/2010 del 28 settembre 2015</w:t>
      </w:r>
    </w:p>
    <w:p>
      <w:pPr>
        <w:pStyle w:val="Heading2"/>
      </w:pPr>
      <w:r>
        <w:t>Regeste</w:t>
      </w:r>
    </w:p>
    <w:p>
      <w:r>
        <w:t>PRÉSOMPTION D'INNOCENCE; VIOLATION DU DEVOIR D'ASSISTANCE OU D'ÉDUCATION; TORT MORAL | CPP.10.3; CP.219; CPP.126.1.b; CO.49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Dans le cadre du principe de libre appréciation des preuves, rien ne s'oppose non plus à ne retenir qu'une partie des déclarations d'un témoin globalement crédible (ATF 120 Ia 31 consid. 3 spéc. p. 39). 2.2.1. Selon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soit une personne âgée de moins de 18 ans, un devoir d'assistance, c'est-à-dire de protection, ou un devoir d'éducation, c'est-à-dire d'assurer le développement - sur le plan corporel, spirituel et psychique - du mineur. Sont notamment des garants les parents naturels (ATF 125 IV 64 consid. 1a p. 68 s.). Le garant est tenu avant tout de fournir la nourriture, l'habillement, l'entretien, l'hébergement et la formation, les besoins culturels et sportifs de l'enfant et la tendresse dont il a besoin (M. DUPUIS / B. GELLER / G. MONNIER / L. MOREILLON / C. PIGUET / C. BETTEX / D. STOLL (éds), Code pénal - Petit commentaire , Bâle 2012, n. 8 ad art. 319). Il faut ensuite que l'auteur ait violé son devoir d'assistance ou d'éducation ou qu'il ait manqué à ce devoir. Le comportement délictueux peut donc consister en une action ou en une omission ; dans le premier cas, l'auteur viole positivement son devoir, par exemple en maltraitant le mineur ; dans le second cas, l'auteur manque passivement à son obligation, par exemple en abandonnant l'enfant, en négligeant de lui donner des soins ou en ne prenant pas, face à un danger, les mesures de sécurité qui s'imposent. (ATF 125 IV 64 consid. 1a p. 69 ; arrêts du Tribunal fédéral 6B_457/2013 du 29 octobre 2013 consid. 1.1.2 et 6B_539/2010 du 30 mai 2011 consid. 4.2).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 125 IV 64 consid. 1a p. 69). Sur le plan subjectif, l'auteur peut avoir agi intentionnellement - dans ce cas, le dol éventuel suffit - ou par négligence (ATF 125 IV 64 consid. 1a). 2.2.2.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(cf. arrêts du Tribunal fédéral 6B_457/2013 du 29 octobre 2013 consid. 1.2 et 6B_539/2010 du 30 mai 2011 consid. 4.2 avec les références à la doctrine). Dans un arrêt 6B_150/2012 du 14 mai 2012, le Tribunal fédéral a confirmé la condamnation d'une mère qui avait poussé sa fille contre les meubles, lui avait tiré les cheveux, l'avait griffée et menacée de la mettre à la porte, de l'emmener dans un foyer, de lui couper ses habits ou de tuer ses rats. La mère avait également exercé une pression psychologique sur sa fille et l'avait disputée pour n'importe quel prétexte. Elle lui avait répété qu'elle n'était pas chez elle et qu'elle avait l'interdiction de verrouiller la porte de sa chambre ou celle des toilettes. Il lui était arrivé quelques fois de la réveiller en pleine nuit pour lui faire des reproches et l'insulter. Ces disputes étaient survenues une fois par semaine environ d'abord puis, durant la dernière année de leur vie commune, elles étaient devenues quotidiennes. La violation d'un devoir d'assistance ou d'éducation est une infraction qui entre souvent en concours (idéal ou imparfait) avec celles contre l'intégrité physique (voir par ex. arrêts du Tribunal fédéral 6B_498/2008 du 18 août 2008 [violences physiques répétées] ; 6S.273/2004 du 24 septembre 2004 [coups répétés sur la tête sanctionnant les bêtises commises]) ou l'intégrité sexuelle (voir par ex. ATF 126 IV 136 [abus sexuels commis sur une jeune fille au pair] ; arrêt de la Chambre pénale d'appel et de révision AARP/268/2012 du 10 septembre 2012 [actes d'ordre sexuel commis par un père sur sa fille]), caractéristiques des maltraitances subies par des enfants.</w:t>
      </w:r>
    </w:p>
    <w:p>
      <w:r>
        <w:rPr>
          <w:b/>
        </w:rPr>
        <w:t>E. 2.3</w:t>
      </w:r>
    </w:p>
    <w:p>
      <w:r>
        <w:t>En l'espèce, les déclarations constantes de la partie plaignante quant à l'existence d'insultes de la part de son père durant les années 2008 et 2009 et, plus particulièrement, quant à l'emploi des termes de " merde ", " conne " et de l'expression " tu vas manger de la merde ", sont corroborées par un ensemble d'indices, voire même, du moins s'agissant de leur utilisation à une reprise, par l'appelant lui-même. Sa justification culturelle de l'emploi des derniers propos laisse perplexe ; celle relative à l'usage du mot " conne " ne permet pas d'écarter l'éventualité d'autres incidences, au contraire vu la facilité avec laquelle il a recouru à ce terme. Le rapport d'intervention des HUG du 30 novembre 2008 atteste d'un épisode psychologiquement éprouvant pour la partie plaignante du fait du comportement de l'appelant. Le témoignage de la psychologue H______ vient confirmer une période difficile entre le père et sa fille. Le départ du domicile familial à 17 ans, non contesté, s'accorde avec l'existence d'une pression psychologique exprimée au travers d'insultes et propos blessants. L'instrumentalisation de la part de la mère est une hypothèse peu probable, au demeurant écartée par la psychologue entendue, concernant une jeune femme majeure au moment du dépôt de sa plainte, dont celle-ci n'avait aucun bénéfice à retirer. Enfin, la stratégie de défense de l'appelant, consistant à dépeindre la mère de ses enfants comme l'unique responsable de tous les maux de la famille, alors que les rapports du SPMI attestent d'une gestion pour le moins difficile du conflit de part et d'autre, est révélatrice de son incapacité à admettre ses torts, rendant ses dénégations peu crédibles. Le SPMI a d'ailleurs relevé l'écart existant entre la perception de la situation par l'appelant et le ressenti des enfants, ce que l'hospitalisation de sa fille E______, à l'issue d'une journée "sans incidents" selon ses dires, illustre. Ainsi, même en écartant les déclarations de la mère de la partie plaignante, dont l'appelant relève à raison qu'elles ne présentent pas tous les gages de l'objectivité vu le conflit les opposant, et le contenu de la lettre du fils aîné, qui n'a pas été entendu, la CPAR est convaincue de la réalité des insultes et paroles blessantes prononcées par l'appelant dans le courant 2008/2009, soit pendant le conflit parental. En raison de l'imprécision des déclarations de la partie plaignante, qui évoque des "violences verbales" sans référence à des propos précis sinon un renvoi aux termes déjà évoqués, sans contexte, sans exemples concrets, et en faisant référence à des périodes variables – entre 14 et 17 ans ou entre 12 et 17 ans –, la CPAR ne peut retenir qu'il en a été de même au cours des années précédentes, même en tenant compte de l'influence du temps sur la mémoire. Le témoignage de la psychologue H______ tend d'ailleurs à confirmer que les insultes et menaces ont été principalement, sinon exclusivement, proférées dans le contexte de la séparation des parents, la psychologue liant les violences verbales dont lui faisait état la partie plaignante au chantage exercé par le père sur sa fille pour qu'elle prenne parti dans le conflit des adultes. Au vu de ce qui précède, la CPAR retient que les faits tels qu'ils ressortent de l'ordonnance pénale valant acte d'accusation ne sont pas établis pour la période allant de 2002 à 2007. En l'absence d'autres éléments caractérisant une violation des devoirs éducatifs, tels que manque de soins, ostracisme de l'enfant, brimades continuelles, violences physiques, les propos tenus au cours des années 2008 et 2009, pour inappropriés et blessants qu'ils soient venant de la part d'un père, n'atteignent pas un degré d'intensité et une fréquence propres à mettre en danger le développement psychique. Certes les mots des parents ont une grande incidence sur l'opinion qu'un enfant se forge de lui-même. Quelques occurrences sur une courte période ne semblent toutefois pas à même de détruire l'estime de soi au point que le développement de l'enfant en soit compromis. Si une référence à un résultat concret n'est pas pertinente pour évaluer cette condition de l'infraction, force est d'admettre que cette absence de mise en danger trouve sa confirmation dans le cas d'espèce, la partie plaignante connaissant un développement harmonieux, illustré par la poursuite de ses études, étant précisé que le certificat médical du 29 novembre 2010 ne lie pas directement les souffrances ressenties à cette période-là aux propos du père. Pour les motifs qui précèdent, l'appelant sera acquitté de l'infraction de violation du devoir d'assistance ou d'éducation, étant relevé que si certains des propos tenus évoquent l'infraction d'injure (art. 177 CP), la plainte de novembre 2009 paraît tardive (art. 31 CP), le dernier épisode relaté remontant à mai 2009.</w:t>
      </w:r>
    </w:p>
    <w:p>
      <w:r>
        <w:rPr>
          <w:b/>
        </w:rPr>
        <w:t>E. 3.1</w:t>
      </w:r>
    </w:p>
    <w:p>
      <w:r>
        <w:t>En vertu de l'art. 126 al. 1 let. b CPP, le tribunal statue sur les prétentions civiles présentées lorsqu'il acquitte le prévenu et que l'état de fait est suffisamment établi. 3.2.1.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118 II 410 consid. 2 p. 413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CC), le juge dispose d'un large pouvoir d'appréciation (ATF 132 II 117 consid. 2.2.3 in limine ; arrêt du Tribunal fédéral 6B_188/2010 du 4 octobre 2010). 3.2.2. Lorsque l'indemnisation se fait sous la forme d'un capital, le demandeur a droit aux intérêts de celui-ci. Ces intérêts, dont le taux s'élève à 5% (art. 73 CO), courent en principe à partir du jour de l'évènement dommageable et ce, jusqu'au moment de la capitalisation. Lorsque les actes à l'origine du tort moral se répètent pendant une certaine durée, il y a lieu, en l'absence de circonstances particulières, de se fonder sur un moment situé au milieu du laps de temps considéré (L. THÉVENOZ / F. WERRO (éds), Commentaire romand : Code des obligations I , 2e éd., Bâle 2012, n. 22 ad art. 47 CO).</w:t>
      </w:r>
    </w:p>
    <w:p>
      <w:r>
        <w:rPr>
          <w:b/>
        </w:rPr>
        <w:t>E. 3.3</w:t>
      </w:r>
    </w:p>
    <w:p>
      <w:r>
        <w:t>En l'espèce, l'acquittement de l'appelant repose sur des motifs juridiques, la CPAR tenant pour établie l'existence d'insultes durant les années 2008 et 2009. Sans constituer une mise en danger du développement psychique de son enfant, le comportement de l'appelant était à même de porter une atteinte objectivement grave à la personnalité de la partie plaignante, le suivi psychologique dont elle a eu besoin au cours de l'année 2008/2009 et ses propos à l'audience de jugement attestant par ailleurs de la souffrance effectivement ressentie. Au vu de ce qui précède, les conditions d'une réparation du tort moral sont réunies. Le montant alloué par le premier juge à ce titre sera confirmé, l'ampleur des souffrances exprimées par la partie plaignante ne justifiant pas de le revoir à la baisse, ce que l'appelant ne prétend au demeurant pas. L'indemnité pour tort moral de CHF 1'000.- arrêtée par le premier juge sera partant confirmée, les intérêts courant à compter du 1 er janvier 2009, date moyenne des actes à l'origine du tort moral.</w:t>
      </w:r>
    </w:p>
    <w:p>
      <w:r>
        <w:rPr>
          <w:b/>
        </w:rPr>
        <w:t>E. 4</w:t>
      </w:r>
    </w:p>
    <w:p>
      <w:r>
        <w:t>L'appel ayant été admis, les frais de la procédure seront laissés à la charge de l’Etat. Le jugement entrepris sera annulé dans la mesure où il a condamné l'appelant à payer à la partie plaignante CHF 1'499.50 à titre de dépenses obligatoires occasionnées par la procédure (art. 433 CPP a contrario ). Dûment interpellé, l'appelant n'a pas fait valoir de prétentions en indemnisation fondées sur l'art. 429 CPP, de sorte qu'il sera retenu qu'il y a implicitement renoncé (cf. arrêts du Tribunal fédéral 6B_842/2014 du 3 novembre 2014 consid. 2.1 et 6B_472/2012 du 13 novembre 2012 consid. 2.4).</w:t>
      </w:r>
    </w:p>
    <w:p>
      <w:r>
        <w:rPr>
          <w:b/>
        </w:rPr>
        <w:t>E. 5</w:t>
      </w:r>
    </w:p>
    <w:p>
      <w:r>
        <w:t>5.1.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23 décembre 2014. M e X______ est en conséquence invité à solliciter du Tribunal de police son indemnisation pour les activités déployées en première instance.</w:t>
      </w:r>
    </w:p>
    <w:p>
      <w:r>
        <w:rPr>
          <w:b/>
        </w:rPr>
        <w:t>E. 5.2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5.3</w:t>
      </w:r>
    </w:p>
    <w:p>
      <w:r>
        <w:t>En l'espèce, l'état de frais de Me X______, conseil juridique gratuit de B______, sera admis à concurrence de 3h30 d'activité du chef d'étude, soit une réduction de 4h20 par rapport aux heures annoncées, excessives au regard de la nature peu complexe de l'affaire, de la connaissance préalable du dossier par M e X______ et du caractère circonscrit de son activité en appel (rédaction d'un mémoire de réponse de 2 pages et demie). Le montant des honoraires de Me X______ sera par conséquent arrêté à CHF 907.20 (indemnisation forfaitaire de 20% [CHF 140.-] et TVA [CHF 67.20] comprises).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