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P/3469/2020 vom 23. Juni 2021</w:t>
      </w:r>
    </w:p>
    <w:p>
      <w:r>
        <w:t>GE Cour de justice, 2021-06-23, FR</w:t>
      </w:r>
    </w:p>
    <w:p>
      <w:r>
        <w:rPr>
          <w:b/>
        </w:rPr>
        <w:t xml:space="preserve">Quelle: </w:t>
      </w:r>
      <w:r>
        <w:t>https://mcp.opencaselaw.ch/entscheid/ge_gerichte_P_3469_2020</w:t>
      </w:r>
    </w:p>
    <w:p>
      <w:r>
        <w:t>FR: GE_GERICHTE P/3469/2020 du 23 juin 2021</w:t>
      </w:r>
    </w:p>
    <w:p>
      <w:r>
        <w:t>IT: GE_GERICHTE P/3469/2020 del 23 giugno 2021</w:t>
      </w:r>
    </w:p>
    <w:p>
      <w:pPr>
        <w:pStyle w:val="Heading2"/>
      </w:pPr>
      <w:r>
        <w:t>Regeste</w:t>
      </w:r>
    </w:p>
    <w:p>
      <w:r>
        <w:t>CIRCULATION ROUTIÈRE(DROIT DE LA CIRCULATION ROUTIÈRE);PRINCIPE DE L'ACCUSATION;INDEMNITÉ(EN GÉNÉRAL) | LCR.90.al1; CPP.9; CPP.325; CPP.344; CPP.350; CPP.426.al1; CPP.426.al2; CPP.430; CPP.429; LCR.33; OCR.6</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d'organisation judiciaire (LOJ), lorsque des contraventions font seules l'objet du prononcé attaqué et que l'appel ne vise pas une déclaration de culpabilité pour un crime ou un délit, le ou la magistrat(e) exerçant la direction de la procédure de la juridiction d'appel est compétent(e) pour statuer.</w:t>
      </w:r>
    </w:p>
    <w:p>
      <w:r>
        <w:rPr>
          <w:b/>
        </w:rPr>
        <w:t>E. 2</w:t>
      </w:r>
    </w:p>
    <w:p>
      <w:r>
        <w:t>2.1.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ème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la première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2.2.1.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2.2.2. Conformément à l'art. 344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al. 1 in fine CPP). Il va, par ailleurs, de soi que le principe de l'accusation ne saurait empêcher l'autorité de jugement, au besoin, de constater des faits permettant de réfuter les contestations et allégations du prévenu portant, par exemple, sur des faits justificatifs, qu'il n'incombe pas au ministère public de décrire par le menu dans l'acte d'accusation (arrêt du Tribunal fédéral 6B_445/2015 du 29 janvier 2016 consid. 1.3).</w:t>
      </w:r>
    </w:p>
    <w:p>
      <w:r>
        <w:rPr>
          <w:b/>
        </w:rPr>
        <w:t>E. 2.3</w:t>
      </w:r>
    </w:p>
    <w:p>
      <w:r>
        <w:t>Contrairement à ce que soutient le MP, le TP a bien retenu une qualification juridique divergente de celle proposée dans l'ordonnance pénale, puisqu'il a retenu une violation simple des règles de la circulation routière ayant consisté en une perte de maîtrise au sens de l'art. 33 al. 1 LCR plutôt qu'en la violation de l'obligation de céder la priorité à l'approche d'un passage pour piétons (art. 6 de l'ordonnance sur les règles de la circulation routière [OCR]), ayant entraîné un accident avec blessé(s) léger(s). A supposer que les conditions de l'art. 350 CPP étaient réalisées, le TP aurait, ce faisant, violé le droit d'être entendu de l'appelant, en ne l'informant pas de ce qu'il envisageait un tel changement de qualification juridique, avec pour conséquence que l'intéressé n'a pas pu exposer, ainsi qu'il l'a fait dans son mémoire d'appel, pour quels motifs aucune perte de maîtrise fautive ne pouvait être retenue. Dans le cas d'espèce, la violation des droits du prévenu est d'autant plus significative que la première juge s'est, semble-t-il, fondée sur les propres déclarations spontanées de l'appelant devant elle, selon lesquelles il n'avait pu entamer une manœuvre d'évitement, déclarations dont il ne peut être tenu pour certain qu'il les aurait faites s'il avait su qu'elles pourraient être tenues pour un aveu de culpabilité. La question de savoir si cette violation du droit d'être entendu peut être réparée par la juridiction d'appel, qui en l'espèce dispose d'un plein pouvoir de cognition en droit mais non en fait, souffre de demeurer ouverte, pour les motifs qui suivent.</w:t>
      </w:r>
    </w:p>
    <w:p>
      <w:r>
        <w:rPr>
          <w:b/>
        </w:rPr>
        <w:t>E. 2.4</w:t>
      </w:r>
    </w:p>
    <w:p>
      <w:r>
        <w:t>Il ne saurait être retenu que la simple évocation dans l'ordonnance pénale de ce qu'il y avait eu un accident avec blessé(s) léger(s) aurait dû permettre à l'appelant de comprendre qu'une perte de maîtrise lui était reprochée, tout accident n'étant pas nécessairement précédé d'une perte de maîtrise. Au contraire, le reproche fait à l'appelant aux termes de ladite ordonnance était clairement de ne pas avoir cédé la priorité au cycliste et à son passager, ce qui aurait pu arriver sans aucune perte de maîtrise du véhicule du prévenu, s'il était entré en collision avec le vélo au guidon d'un motocycle parfaitement maîtrisé, par exemple s'il avait sciemment tenté de forcer la voie, ainsi que cela est hélas fréquent en présence d'un passage pour piétons. L'état de fait retenu par le TP est ainsi bien un état de fait totalement différent de celui décrit, sommairement, dans l'ordonnance pénale, soit un état de fait complété d'un second comportement fautif – la perte de maîtrise – qui n'était pas nécessairement compris dans le premier – l'omission de céder la priorité –, ce qui contrevient à la maxime d'accusation. Il s'ensuit que, ainsi que l'expose l'appelant, le TP – sans l'y avoir rendu attentif (cf. art. 344 CPP) ou sans avoir sollicité une modification de l'accusation (cf. art. 333 CPP) – aurait dû se contenter de constater qu'il n'avait pas omis de céder la priorité et prononcer son acquittement. L'appel est dès lors admis.</w:t>
      </w:r>
    </w:p>
    <w:p>
      <w:r>
        <w:rPr>
          <w:b/>
        </w:rPr>
        <w:t>E. 3</w:t>
      </w:r>
    </w:p>
    <w:p>
      <w:r>
        <w:t>Vu l'issue de la cause, les frais de la procédure seront laissés à la charge de l'Etat.</w:t>
      </w:r>
    </w:p>
    <w:p>
      <w:r>
        <w:rPr>
          <w:b/>
        </w:rPr>
        <w:t>E. 4.1</w:t>
      </w:r>
    </w:p>
    <w:p>
      <w:r>
        <w:t>Aux termes de l'art. 429 al. 1 let a CPP, le prévenu a, notamment, droit à la couverture des dépenses raisonnables engagées aux fins de l'exercice raisonnable de ses droits de procédure s'il est acquitté totalement ou en partie ou s'il bénéficie d'une ordonnance de classement. 4.2.1. En vertu de l'art. 430 al. 1 let. a CPP, l'autorité pénale peut réduire ou refuser ladite indemnité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 5 décembre 2017 consid. 2.1). 4.2.2.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ou un refus d'indemnisation n'est ainsi admissible que si le prévenu a provoqué l'ouverture de la procédure pénale dirigée contre lui ou s'il en a entravé le cours. A cet égard, seul un comportement fautif et contraire à une règle juridique entre en ligne de compte (ATF 119 Ia 332 consid. 1b p. 334 ; ATF 116 Ia 162 consid. 2c p. 168 ; arrêts du Tribunal fédéral 6B_1176/2015 du 23 novembre 2016 consid. 1.1 ; 6B_203/2015 du 16 mars 2016 consid. 1.1 ; 6B_300/2012 du 10 juin 2013 consid. 2.4 ; 6B_331/2012 du 22 octobre 2012 consid. 2.3). Un comportement contraire à la seule éthique ne peut justifier le refus d'indemniser le prévenu libéré des fins de la poursuite pénale. La jurisprudence a toutefois étendu la notion de comportement fautif à la violation de toute norme de comportement écrite ou non écrite résultant de l'ordre juridique suisse pris dans son ensemble, dans le sens d'une application par analogie des principes découlant de l'art. 41 CO (ATF 119 Ia 332 consid. 1b p. 334 ; ATF 116 la 162 consid. 2c p. 169). Le fait reproché doit constituer une violation claire de la norme de comportement (ATF 119 la 332 consid. 1b p. 334 ; arrêts du Tribunal fédéral 6B_1115/2016 du 25 juillet 2017 consid. 2.1 ; 6B_1176/2015 du 23 novembre 2016 consid. 1.1 ; 6B_203/2015 du 16 mars 2016 consid. 1.1 ; 6B_77/2013 du 4 mars 2013 consid. 2.5.2). La mise des frais à la charge du prévenu en cas d'acquittement ou de classement de la procédure doit en effet rester l'exception (arrêt du Tribunal fédéral 6B_20/2017 , 6B_21/2017 du 6 septembre 2017 consid. 7.1).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 4.2.3. L'appelant a été acquitté du chef de l'infraction reprochée dans l'ordonnance pénale. Il ne peut être tenu pour établi qu'il a néanmoins commis une autre infraction, laquelle aurait été à l'origine de l'ouverture de la procédure, pour avoir perdu la maîtrise de son motocycle, les faits propres à fonder cette conclusion n'ayant pas fait l'objet des débats de première instance. Ces faits n'étaient en effet pas visés par ladite ordonnance et, de surcroît, l'intéressé n'a pas même été informé de ce qu'ils seraient examinés par l'autorité de jugement et n'a donc pas pu s'exprimer à cet égard. Admettre qu'il serait coupable de cette infraction, différente de celle reprochée, pour lui refuser l'indemnisation due en cas d'acquittement reviendrait donc à violer derechef ses droits de prévenu, outre la présomption d'innocence. Aucun autre reproche que celui d'avoir perdu la maîtrise de son véhicule ne peut être au demeurant déduit du dossier, ni n'est d'ailleurs articulé par le MP. 4.2.4.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 4.2.5. En l'occurrence, il paraît si vrai que l'assistance d'un avocat était nécessaire quand bien même les faits reprochés étaient simples et relevaient du domaine contraventionnel, que le prévenu n'a en définitive véritablement obtenu l'acquittement qu'au stade de l'appel, en se prévalant de principes procéduraux qui ne sont pas à la portée du laïc. 4.2.6. Le droit à l'indemnisation prévue à l'art. 429 al.1 let. a CPP est ainsi acquis dans son principe. 4.3.1. Les honoraires d'avocat se calculent selon le tarif local, à condition qu'ils restent proportionnés (N. SCHMID, Schweizerische Strafprozessordnung : Praxiskommentar , 2 ème éd., Zurich 2013, n. 7 ad art. 429).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4.2.3.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Jugendstrafprozessordung, Basler Kommentar StPO / JStPO , 2 ème éd., Bâle 2014, n. 19 ad art. 429). S'il s'écarte notablement de la note d'honoraires présentée, il doit en motiver les raisons (M. NIGGLI / M. HEER / H. WIPRÄCHTIGER, op. cit. , n. 18 ad art. 429). Une diminution de 60%, sans motivation suffisante, est arbitraire (arrêt du Tribunal fédéral 6B_434/2008 du 29 octobre 2008 consid. 3.2.2 non publié in ATF 135 IV 43 ). Aussi,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4.2.4. Le temps consacré par le défenseur privé de l'appelant à la procédure de première instance, tel que restitué dans sa première note d'honoraires n'apparaît pas abusif, ni même excessif, et le taux pratiqué est conforme à la pratique sus-évoquée. La liste d'opérations annexée à la seconde note comptabilise 40 minutes au titre de l'examen du dossier et de la rédaction de la déclaration d'appel, ce qui est largement excessif, l'avocat connaissant parfaitement le dossier, qu'il venait de plaider en première instance, et l'acte se résumant à une simple lettre, conformément aux exigences légales : dix minutes seront retenues. Ledit avocat a notamment facturé deux courriers (2 x 10 minutes) à la Cour, soit une communication du 26 février 2021 par laquelle il a requis la prolongation du délai imparti pour le dépôt de son mémoire d'appel, en raison d'une surcharge de travail, et le courrier de couverture du 10 mars suivant par lequel il a transmis ladite écriture. La première prestation n'est pas facturable au client et, par ricochet, à l'Etat, dès lors qu'elle est imputable à l'organisation de l'Etude, non au mandat en cause ; la seconde n'était pas utile, l'écriture pouvant être acheminée sans courrier de couverture. Il sera ainsi admis que l'activité utile à la procédure d'appel était de six heures (arrondie, à la baisse, de cinq minutes, étant précisé qu'on aurait encore pu discuter du temps par quatre heures au total consacré non seulement à la rédaction du mémoire d'appel mais également à la confection d'un bordereau composé exclusivement de pièces figurant déjà au dossier, sous réserve de la dernière note d'honoraires), d'où des honoraires par CHF 2'584.80 (TVA en CHF 184.80 comprise). L'indemnité totale due à l'appelant ascende ainsi à CHF 5'600.40.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