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P/3468/2012 vom 27. August 2015</w:t>
      </w:r>
    </w:p>
    <w:p>
      <w:r>
        <w:t>GE Cour de justice, 2015-08-27, FR</w:t>
      </w:r>
    </w:p>
    <w:p>
      <w:r>
        <w:rPr>
          <w:b/>
        </w:rPr>
        <w:t xml:space="preserve">Quelle: </w:t>
      </w:r>
      <w:r>
        <w:t>https://mcp.opencaselaw.ch/entscheid/ge_gerichte_P_3468_2012</w:t>
      </w:r>
    </w:p>
    <w:p>
      <w:r>
        <w:t>FR: GE_GERICHTE P/3468/2012 du 27 août 2015</w:t>
      </w:r>
    </w:p>
    <w:p>
      <w:r>
        <w:t>IT: GE_GERICHTE P/3468/2012 del 27 agosto 2015</w:t>
      </w:r>
    </w:p>
    <w:p>
      <w:pPr>
        <w:pStyle w:val="Heading2"/>
      </w:pPr>
      <w:r>
        <w:t>Regeste</w:t>
      </w:r>
    </w:p>
    <w:p>
      <w:r>
        <w:t>IN DUBIO PRO REO; LÉSION CORPORELLE SIMPLE; ABUS D'AUTORITÉ; CIRCULATION ROUTIÈRE(DROIT DE LA CIRCULATION ROUTIÈRE); TRAVAIL D'INTÉRÊT GÉNÉRAL; PEINES ET MESURES; CONCOURS D'INFRACTIONS | CP.123.1; CP.312; CP.49.1; CP.42; LCR.90.3; LCR.90.4; CP.47; CP.39; CP.44</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verdict de culpabilité du chef d'infraction à la LCR, non contesté, ne sera pas examiné par la CPAR, le jugement de première instance consacrant une correcte application du droit sur ce point.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107 IV 40 consid. 5c p. 42 ;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2.2</w:t>
      </w:r>
    </w:p>
    <w:p>
      <w:r>
        <w:t>Les lésions corporelles sont qualifiées d'infraction intentionnelle de résultat.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135 IV 156 consid. 2.3.2 ; 134 IV 26 consid. 3.2.2 ; 133 IV 9 consid. 4.1 p. 579 ; 131 IV 1 consid. 2.2 p. 4 s. ; 130 IV 58 consid. 8.2 p. 61).</w:t>
      </w:r>
    </w:p>
    <w:p>
      <w:r>
        <w:rPr>
          <w:b/>
        </w:rPr>
        <w:t>E. 2.3</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113 IV 29 consid. 1 p. 30 ;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 arrêts du Tribunal fédéral 6B_831/2011 du 14 février 2012 consid. 1.2 ; 6B_699/2011 du 26 janvier 2012 consid. 1.1 et 6S.171/2005 du 30 mai 2005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w:t>
      </w:r>
    </w:p>
    <w:p>
      <w:r>
        <w:rPr>
          <w:b/>
        </w:rPr>
        <w:t>E. 2.4</w:t>
      </w:r>
    </w:p>
    <w:p>
      <w:r>
        <w:t>En l'espèce, il est établi que l'intimé a été blessé à la lèvre inférieure gauche et à la joue gauche le 22 février 2012, son récit en ce sens étant corroboré par le constat de lésions traumatiques du 24 février 2012. Ces lésions ont également été observées par son codétenu, ainsi que par le gardien-chef, le témoin G______ et, même s'il n'a évoqué qu'une légère blessure, le témoin H______. Les déclarations du codétenu de l'intimé, fiables compte tenu de leur caractère circonstancié, de l'invraisemblance d'une manipulation de la part de l'intimé vu le peu de temps passé ensemble en cellule et de l'absence d'intérêt à mentir, permettent de situer le moment où cette lésion a été causée, soit lors du premier transfert en cellule, hors caméra, entre le passage du portique de sécurité et le franchissement de la porte menant à la cellule, dans le couloir ou l'ascenseur. Les images de la vidéosurveillance montrant l'intimé marchant calmement n'infirment pas cette conclusion. Les traits du visage du détenu ne sont pas visibles et son attitude placide peut aussi s'accorder avec un état d'abattement suite à un épisode violent, lequel est compatible avec l'agitation perceptible avant le franchissement de la porte. Les dénégations des gardiens relatives à l'usage de la force lors de ce premier trajet ou à des coups n'emportent pas conviction, ceux-ci affirmant aussi n'avoir constaté aucune blessure au visage de l'intimé alors qu'elle devait être clairement visible vu les séquelles constatées le lendemain. Par ailleurs, ainsi qu'il a été souligné par le témoin D______, les gardiens font preuve de solidarité entre eux lorsqu'il s'agit de taire d'éventuels manquements, comme en atteste leur absence de réaction face au coup de pied aux fesses porté plus tard par l'appelant. Ainsi qu'il ressort de l'expertise médicale et des précisions de l'experte au cours de la procédure, il n'est en revanche pas possible de déterminer avec certitude la cause de la lésion. Si l'automutilation, une pratique répandue en milieu carcéral selon le témoin H______, est une piste à écarter in casu vu le moment de la lésion, aussi bien un coup de poing qu'un plaquage au sol violent peuvent être à l'origine de celle-ci à dires d'expert. L'intimé impute certes sa blessure à un coup de poing qu'il attribue à l'appelant. Ses déclarations comportent toutefois certaines exagérations, comme celles relatives à la violence des coups portés, qui auraient dû causer des lésions autrement plus graves que celles constatées si ce récit était véridique. L'intimé n'est pas crédible lorsqu'il dépeint une agression verbale unilatérale à son arrivée à la prison vu la décision de placement en cellule forte. Il a par ailleurs des raisons manifestes, tenant à leur contentieux antérieur, de désigner l'appelant comme auteur de la lésion subie, de sorte que son récit ne peut être tenu pour établi en l'absence d'autres éléments. Ceux-ci font défaut, les déclarations du codétenu, qui s'est contenté de rapporter les propos de l'intimé, ou les constats du gardien-chef, qui a observé un visage tuméfié comme il en avait rarement vu, ne donnant pas d'indication utile sur la cause ou l'auteur des lésions. L'estimation du gardien-chef selon laquelle le détenu avait été frappé et était crédible au sujet de l'auteur de la lésion relève d'une appréciation personnelle, que l'experte médicale n'a pas été en mesure de confirmer et dont il n'est pas exclu qu'elle ait pu être facilitée par une inimitié à l'égard de l'appelant. Enfin, l'attitude de ce dernier au cours de la soirée et par la suite, notamment ses prétendus enseignements sur la manière de contrôler un détenu pourtant déjà entravé ou son absence de mention du coup de pied aux fesses dans son rapport alors qu'il avait été invité par ses sous-chefs à préciser s'il y avait eu usage de la force ou coups, pour inadéquate qu'elle ait été, ne permet pas d'établir qu'il est l'auteur d'un coup de poing au visage de l'intimé, d'autant que l'appelant nie avec persistance ce fait alors qu'il a admis, certes aidé par les images de la vidéosurveillance, le coup de pied porté aux fesses, ce qui démontre une certaine capacité à reconnaître ses torts. Au vu des éléments qui précèdent, il n'est pas possible d'établir au-delà de tout doute raisonnable que la lésion constatée sur l'intimé a été causée par un coup de poing, donné par l'appelant, de sorte que celui-ci doit être acquitté du chef d'infraction de lésions corporelles simples. Le jugement entrepris sera modifié sur ce point.</w:t>
      </w:r>
    </w:p>
    <w:p>
      <w:r>
        <w:rPr>
          <w:b/>
        </w:rPr>
        <w:t>E. 2.5</w:t>
      </w:r>
    </w:p>
    <w:p>
      <w:r>
        <w:t>En portant un coup de pied dans la partie basse du corps de l'intimé, alors qu'il était en fonction et que le détenu était à sa merci, couché au sol, entravé dans ses mouvements par quatre gardiens, l'appelant a manifestement abusé de son autorité de gardien de prison. L'appelant ne peut se dédouaner de son comportement au prétexte qu'il a agi en réaction à une vive émotion, les atteintes totalement injustifiées et ne rentrant pas dans l'exercice des fonctions étant également visées par l'art. 312 CP, ainsi qu'il a déjà été précisé à plusieurs reprises dans la jurisprudence du Tribunal fédéral. Par ailleurs, les conditions d'aucun des faits justificatifs prévus par le législateur ne sont remplies. En particulier, l'appelant ne peut pas se prévaloir de la légitime défense. En sa fonction de gardien de prison, il aurait dû savoir résister aux provocations verbales qu'il prête à l'intimé. Sur le plan subjectif, l'appelant, expérimenté et plus haut gradé présent au moment du transfert de l'intimé en cellule forte, était conscient qu'il outrepassait ses fonctions en agissant de la sorte. Il est d'ailleurs allé rapporter l'incident à son supérieur, dont la réaction totalement inadaptée ne saurait constituer une excuse à ses propres manquements. Son intention de punir physiquement l'intimé pour ses paroles et donc de lui nuire ne fait aucun doute, aucun autre but n'expliquant son geste. Le jugement dont est appel doit dès lors être confirmé en ce qu'il reconnaît l'appelant coupable d'abus d'autorité.</w:t>
      </w:r>
    </w:p>
    <w:p>
      <w:r>
        <w:rPr>
          <w:b/>
        </w:rPr>
        <w:t>E. 3</w:t>
      </w:r>
    </w:p>
    <w:p>
      <w:r>
        <w:t>4.1.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3.4.2. Pour la question de savoir si les peines prononcées cumulativement doivent l'être avec ou sans sursis, il ne faut pas se fonder sur la sanction comprenant dans son ensemble une peine privative de liberté et une peine pécuniaire (comme en cas d'absorption de peines du même genre). Il y a plutôt lieu de considérer chaque peine pour elle-même (ATF 138 IV 120 consid. 6 p. 123). 3.4.3.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3.5.1. En l'espèce, la faute de l'appelant est sérieuse, l'abus d'autorité en milieu carcéral, où les détenus sont sous la responsabilité de l'Etat, étant inexcusable, quelles que soient au demeurant les difficultés, indéniables, auxquelles les gardiens se trouvent confrontés quotidiennement. L'intimé n'a toutefois pas exagérément souffert du comportement de l'appelant, précisant avoir plus été heurté par l'ensemble de l'épisode que par le coup porté aux fesses, qui ne lui a pas fait mal. Les mobiles de l'appelant sont égoïstes, ayant réagi par impulsivité. Sa longue expérience de gardien aurait pourtant dû lui permettre d'éviter de tomber dans le travers de la violence face à celle exprimée par les détenus. La collaboration à la procédure ne peut être qualifiée de bonne s'agissant des événements de février 2012, l'appelant admettant son geste, mais persistant à le minimiser. A sa décharge, il sera retenu que la réaction inappropriée de son supérieur E______ lorsqu'il lui a rapporté les faits n'a pas permis à l'appelant de se rendre immédiatement compte de l'inadéquation de son comportement. Il sera également relevé que l'appelant a conscience de ses problèmes d'impulsivité. Il tente désormais d'y remédier, avec succès et persévérance selon les attestations fournies, ce qui doit être salué, même si cette démarche aurait pu et dû être entreprise plus tôt à en juger par le passé disciplinaire de l'appelant. L'appelant est sans antécédents judiciaires, facteur toutefois neutre sur la fixation de la peine (ATF 136 IV 1 consid. 2.6 p. 2). Au vu de la faute de l'appelant et de ses circonstances personnelles, l'infraction d'abus d'autorité reprochée appelle en l'espèce le prononcé d'une peine pécuniaire ou d'un travail d'intérêt général. Comme l'a retenu le premier juge, le dépassement de vitesse commis par l'appelant impose en revanche le prononcé d'une peine privative de liberté d'au minimum un an, sans autre examen de la faute commise. Les peines concrètement retenues ne sont pas du même genre, étant encore précisé que l'appelant réalise les conditions du sursis vu son comportement actuel, ce qui exclurait le prononcé d'une courte peine privative de liberté (art. 41 al. 1 CP) si l'infraction d'abus d'autorité était considérée isolément du dépassement de vitesse. En conséquence, la fixation d'une peine d'ensemble n'est pas possible et il convient d'arrêter deux peines distinctes. Le jugement entrepris sera réformé sur ce point. 3.5.2. Compte tenu de la faute de l'appelant et de ses circonstances personnelles, déjà évoquées, il convient d'arrêter à 60 le nombre de jours-amende sanctionnant l'abus d'autorité, ce qui autorise le prononcé d'un travail d'intérêt général de 240 heures, l'appelant ayant donné son accord en ce sens, ainsi que cela ressort de l'ordonnance pénale du Ministère public du 16 décembre 2013. Cette peine sera assortie du sursis, le pronostic futur se révélant favorable grâce au travail entrepris par l'appelant. Un délai d'épreuve de trois ans lui sera imposé afin que la sanction prononcée constitue un signal fort susceptible de détourner durablement l'appelant de la commission de nouvelles infractions. Au vu des sanctions administratives dont l'appelant fait l'objet, il sera renoncé au prononcé d'une amende à titre de sanction immédiate. 3.5.3. La peine d'un an sanctionnant l'excès de vitesse est acquise à l'appelant, de même que le bénéfice du sursis (art. 391 al. 2 CPP), au demeurant justifié. Vu le peu d'attention que l'appelant a pu prêter aux règles sur la circulation routière, un délai d'épreuve de trois ans est adéquat et nécessaire.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 p. 122). 3.2.2. Est puni d'une peine privative de liberté d'un à quatre ans celui qui dépasse d'au moins 50 km/h la vitesse maximale autorisée là où la limite est fixée à 50km/h (art. 90 al. 3 et 4 LCR). L'abus d'autorité au sens de l'art. 312 CP est passible d'une peine privative de liberté de cinq ans au plus ou d'une peine pécuniaire. 3.3.1. 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3.3.2. Toute personne dont la culpabilité justifierait une condamnation à six mois de privation de liberté ou à 180 jours-amende au plus peut en principe être condamnée à fournir un travail d'intérêt général de 720 heures au plus, quatre heures de travail d'intérêt général correspondant à un jour-amende ou à un jour de peine privative de liberté (art. 39 al. 2 CP),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w:t>
      </w:r>
    </w:p>
    <w:p>
      <w:r>
        <w:rPr>
          <w:b/>
        </w:rPr>
        <w:t>E. 4</w:t>
      </w:r>
    </w:p>
    <w:p>
      <w:r>
        <w:t>Vu l'issue de la procédure (art. 428 al. 1 et 3 CPP), les deux tiers des frais de la procédure de première instance (art. 426 al. 1 CPP) et la moitié des frais de la procédure d'appel, comprenant un émolument de décision de CHF 3'000.-, seront mis à la charge de l'appelant (14 al. 1 let. e du Règlement fixant le tarif des frais en matière pénale - RTFMP - E 4 10.03), les soldes étant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