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P/3458/2020 vom 5. Oktober 2022</w:t>
      </w:r>
    </w:p>
    <w:p>
      <w:r>
        <w:t>GE Cour de justice, 2022-10-05, FR</w:t>
      </w:r>
    </w:p>
    <w:p>
      <w:r>
        <w:rPr>
          <w:b/>
        </w:rPr>
        <w:t xml:space="preserve">Quelle: </w:t>
      </w:r>
      <w:r>
        <w:t>https://mcp.opencaselaw.ch/entscheid/ge_gerichte_P_3458_2020</w:t>
      </w:r>
    </w:p>
    <w:p>
      <w:r>
        <w:t>FR: GE_GERICHTE P/3458/2020 du 5 octobre 2022</w:t>
      </w:r>
    </w:p>
    <w:p>
      <w:r>
        <w:t>IT: GE_GERICHTE P/3458/2020 del 5 ottobre 2022</w:t>
      </w:r>
    </w:p>
    <w:p>
      <w:pPr>
        <w:pStyle w:val="Heading2"/>
      </w:pPr>
      <w:r>
        <w:t>Regeste</w:t>
      </w:r>
    </w:p>
    <w:p>
      <w:r>
        <w:t>LCR.90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w:t>
      </w:r>
    </w:p>
    <w:p>
      <w:r>
        <w:t>Aux termes de l'art. 90 al. 3 LCR, celui qui, par une violation intentionnelle des règles fondamentales de la circulation, accepte de courir un grand risque d'accident pouvant entraîner de graves blessures ou la mort, notamment en commettant des excès de vitesse particulièrement importants, est passible des peines de droit. 3.1.1. Il découle de l'art. 90 al. 4 LCR que lorsque l'excès de vitesse atteint l'un des seuils fixés, soit lorsque la vitesse maximale autorisée a été dépassée d'au moins 40 km/h, là où la limite était fixée à 30 km/h (al. 4 let. a), la première condition objective de l'art. 90 al. 3 LCR, à savoir la violation d'une règle fondamentale de la circulation routière, est toujours remplie. Selon la jurisprudence,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Ainsi, l'art. 90 al. 4 LCR crée une présomption réfragable de la réalisation de la condition objective du danger qualifié au sens de l'art. 90 al. 3 LCR (ATF 143 IV 508 consid. 1.6). À cet égard, des conditions de circulation idéales, tant du point de vue de la météo que du trafic, une route très large et l'absence de croisement ou de passage piétons ne constituent pas des éléments de faits particuliers permettant de renverser cette présomption (ATF précité, consid. 1.7 et ss). De même, rouler à 86 km/h sur un tronçon limité à 40 km/h en raison de travaux n'est pas une infraction bénigne, la présence d'un chantier sur la chaussée devant inciter les conducteurs à une attention et une prudence accrues (arrêts du Tribunal fédéral 6B_672/2018 du 20 septembre 2018 consid. 1.3 ; 6B_444/2016 du 3 avril 2017 consid. 1.3.2). 3.1.2.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(ATF 142 IV 137 consid. 3.3 ; Message du Conseil fédéral du 9 mai 2012 concernant l'initiative populaire " Protection contre les chauffards ", FF 2012 5057, 5067 ; WEISSENBERGER, Kommentar Strassenverkehrsgesetz und Ordnungs-bussengesetz, mit Änderungen nach Via Sicura , 2 ème éd., 2015, n. 58s. ad art. 90 LCR et références citées). Celui qui commet un excès de vitesse appréhendé par l'art. 90 al. 4 LCR réalise en principe les conditions subjectives de l'infraction. En effet, il faut considérer que l'atteinte d'un des seuils visés à l'art. 90 al. 4 LCR implique généralement l'impossibilité d'éviter un grand risque d'accident en cas d'obstacle ou de perte de maîtrise du véhicule. Cependant, le juge doit conserver une marge de manœuvre, certes restreinte, afin d'exclure, dans des constellations particulières, la réalisation des conditions subjectives lors d'un dépassement de vitesse particulièrement important au sens de l'art. 90 al. 4 LCR. L'art. 90 al. 4 LCR crée une présomption réfragable de la réalisation de l'élément subjectif de l'infraction réprimée par l'art. 90 al. 3 LCR (ATF 142 IV 137 consid. 11.2 p. 151). À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du Tribunal fédéral 6B_1084/2018 du 21 novembre 2018 consid. 2.3.1 ; cf. aussi les cas de figure envisagés par la doctrine dans l'arrêt publié aux ATF 142 IV 137 consid. 10.1 p. 149 s.). 3.2.1. L'art. 27 al. 1 LCR impose aux usagers de la route de se conformer aux signes et aux marques. 3.2.2. À teneur de l'art. 16 al. 2 de l'Ordonnance sur la signalisation routière du 5 septembre 1979 (OSR), le signal "vitesse maximale" doit être observé jusqu'au signal correspondant indiquant la fin de la prescription, mais au plus jusqu'à la fin de la prochaine intersection. 3.3.1. En l'espèce, il est établi, et au demeurant non contesté par l'appelante, qu'elle a roulé à une vitesse de 77 km/h sur la route de Lausanne à Genthod. La photographie produite par la police du panneau de signalisation en place n'est pas datée et a été produite plusieurs mois après les faits, comme l'a soulevé l'appelante, si bien qu'il ne serait pas possible d'établir avec certitude, sur cette seule base, que le panneau était bien en place le jour des faits. Toutefois, lors de sa première audition devant la police, l'appelante a admis avoir été en excès de vitesse et ne pas avoir été attentive à la signalisation en place. Elle a également précisé dans son courrier au Bureau du corps de police avoir été consciente de ce qu'il y avait des travaux sur la route empruntée. Elle a confirmé cela au MP et devant le TP en expliquant que la voie de gauche était fermée et qu'il n'y avait qu'une voie de circulation unique. Elle a précisé avoir vu le panneau indiquant la suppression de la voie de circulation de gauche. Or, la photographie produite permet de constater qu'un panneau limitant la vitesse de circulation à 30 km/h est apposé au-dessus du panneau indiquant ladite suppression de voie. Il paraît logique que les deux panneaux aient été posés en même temps et que les deux devaient donc nécessairement mobiliser son attention. Pour le surplus, la police a indiqué que la signalisation était systématiquement vérifiée préalablement à chaque contrôle de vitesse et que le jour des faits, la signalisation était conforme et parfaitement visible. Au vu de ces éléments, la Cour tient pour établie la présence d'une signalisation visible limitant la vitesse à 30 km/h, les déclarations secondaires de l'appelante ne convaincant pas. L'appelante, en circulant à 77 km/h sur la route de Lausanne a ainsi effectué un dépassement de 42 km/h, marge de sécurité de 5 km/h déduite, de la vitesse autorisée sur ce tronçon. La première condition objective de l'art. 90 al. 3 LCR, soit la violation d'une règle fondamentale de la circulation routière est ainsi clairement réalisée, la vitesse mesurée dépassant la limite fixée à l'art. 90 al. 4 let. a LCR. 3.3.2. Le second élément constitutif objectif, soit la création d'un danger abstrait qualifié est également réalisé. Le seul excès de vitesse commis par l'appelante suffirait, en principe, selon la jurisprudence à remplir cette condition, l'atteinte du seuil de l'art.  90 al. 4 LCR impliquant, de manière générale, l'impossibilité d'éviter un grand risque d'accident. Cette présomption n'est pas renversée en l'espèce. Il est en effet évident que la signalisation en place avait vocation d'assurer la sécurité routière, soit d'assurer la sécurité des personnes mobilisées sur le chantier en cours et des autres usagers de la route. En effet, une zone de travaux était située aux abords immédiat de la route de Lausanne et la circulation ne se faisait plus que sur une seule voie. Les faits sont survenus en semaine, à une heure où la circulation peut être dense et des travaux en cours. L'appelante a été contrôlée à proximité de la gare du Creux de Genthod et, de l'autre côté de la route, se trouvent des habitations. Il n'était ainsi pas exclu qu'il y ait eu des piétons ou des ouvriers que la présence de travaux aurait rendu plus difficile à voir. La jurisprudence a, à cet égard, déjà précisé qu'un excès de vitesse suite à une limitation de celle-ci en raison de travaux n'est pas une infraction bénigne et que la présence d'un chantier sur la chaussée doit inciter les conducteurs à une attention et une prudence accrues. Par ailleurs, la jurisprudence considère également que l'existence d'une route large et de bonnes conditions de circulation ne constituent pas des éléments de fait particuliers permettant d'exclure qu'un très grand excès de vitesse a créé un danger abstrait qualifié. Partant, la condition objective de la création d'un grand risque d'accident impliquant des blessures graves ou la mort est réalisée, ce que l'appelante avait elle-même admis en début d'instruction dans le courrier qu'elle a adressé à la police. 3.3.3. S'agissant de l'élément constitutif subjectif, l'appelante a soutenu penser au moment des faits que le tronçon en question était limité à 80 km/h et ne pas avoir vu de panneau limitant ladite vitesse à 30 km/h. Or, cette argumentation n'est apparue que devant le MP, puis le TP. À la police puis dans son courrier adressé à celle-ci, elle avait indiqué ne pas avoir été attentive à la signalisation routière en raison de problèmes personnels mais avoir été consciente de la présence de travaux sur la voie de gauche. Devant le MP, elle avait précisé emprunter régulièrement la route de Lausanne et que les travaux constatés, en cours d'installation, n'étaient pas en place la veille des faits. Il sera à cet égard rappelé que le panneau de limitation de vitesse se trouvait au-dessus de celui indiquant la suppression de la voie de circulation de gauche, que l'appelante indique avoir vu. Il n'est dès lors pas crédible qu'elle n'y ait prêté garde, outre qu'elle devait vouer toute son attention à la circulation et à la signalisation en place. La présence de travaux et la suppression de la voie de circulation de gauche devait précisément l'inciter à la prudence et à adapter sa vitesse, ce qu'elle n'a nullement fait, alors qu'elle avait conscience du danger induit par une conduite à haute vitesse, ainsi qu'elle l'a déclaré lors de l'audience de jugement. Elle devait également faire abstraction de ses problèmes personnels pendant son trajet et se concentrer sur la route, en particulier sur la signalisation routière. L'appelante échoue ainsi à démontrer l'existence de circonstances exceptionnelles permettant de retenir que l'infraction n'aurait pas été intentionnelle, par dol éventuel à tout le moins au vu de son acceptation de la création d'un grand risque d'accident. Partant, la qualification juridique retenue par le premier juge et la culpabilité de l'appelante du chef d'infraction à l'art. 90 al. 3 et al. 4 let. a LCR seront confirmées.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4.1.2. D'après l'art. 90 al. 3 LCR, la violation intentionnelle des règles fondamentales de la circulation est réprimée par une peine privative de liberté d'un à quatre ans.</w:t>
      </w:r>
    </w:p>
    <w:p>
      <w:r>
        <w:rPr>
          <w:b/>
        </w:rPr>
        <w:t>E. 4.2</w:t>
      </w:r>
    </w:p>
    <w:p>
      <w:r>
        <w:t>En l'occurrence, la faute de l'appelante est importante dans la mesure où elle a violé les règles fondamentales de la circulation routière. Elle a en effet dépassé la vitesse autorisée de 42 km/h dans une zone de travaux, alors que la circulation était réduite à une voie, sans se soucier du danger que représentait un tel comportement pour les autres usagers de la route et pour les ouvriers. Elle a ainsi agi de manière désinvolte, sans aucun égard pour les règles en vigueur ni pour la sécurité publique, par pure convenance personnelle, soit pour un motif égoïste. La collaboration de l'appelante a été plutôt bonne initialement, mais celle-ci s'est ensuite péjorée lorsqu'elle est revenue sur ses déclarations. Sa prise de conscience reste imparfaite, ainsi qu'en témoignent ses dénégations sur le risque que pouvait entraîner ses actes dans le cas d'espèce et ses excuses pour justifier son comportement. Le premier juge a tenu compte de ces éléments et des regrets exprimés en prononçant la peine-plancher définie par la loi, à savoir une peine privative de liberté d'un an, peine qui apparait adéquate et conforme aux critères de l'art. 47 CP, et qui sera confirmée. Le sursis est acquis à l'appelante et le délai d'épreuve fixé à trois ans est adéquat.</w:t>
      </w:r>
    </w:p>
    <w:p>
      <w:r>
        <w:rPr>
          <w:b/>
        </w:rPr>
        <w:t>E. 5</w:t>
      </w:r>
    </w:p>
    <w:p>
      <w:r>
        <w:t>L'appelante, qui succombe, supportera les frais de la procédure envers l'État (art. 428 CPP).</w:t>
      </w:r>
    </w:p>
    <w:p>
      <w:r>
        <w:rPr>
          <w:b/>
        </w:rPr>
        <w:t>E. 6</w:t>
      </w:r>
    </w:p>
    <w:p>
      <w:r>
        <w:t>6.1.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L'activité consacrée aux conférences, audiences et autres actes de la procédure est majorée de 20% jusqu'à 30 heures de travail, décomptées depuis l'ouverture de la procédure, pour couvrir les démarches diverses, telles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ou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En l'occurrence, la rédaction de la déclaration d'appel ainsi que la lecture du jugement du TP étant des tâches couvertes par le forfait, ces activités ne seront pas indemnisées. Le temps consacré à la rédaction du mémoire d'appel motivé sera ramené à trois heures, celles-ci apparaissant largement suffisantes pour cinq pages de motivation, d'autant plus que le dossier était déjà bien connu du défenseur d'office. En conclusion, la rémunération sera arrêtée à CHF 1'227.78 correspondant à 4h45 d'activité au tarif de CHF 200.-/heure (CHF 950.-), plus la majoration forfaitaire de 20% (CHF 190.-) et l'équivalent de la TVA au taux de 7.7% en CHF 87.78.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