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P/3449/2017 vom 17. Juli 2018</w:t>
      </w:r>
    </w:p>
    <w:p>
      <w:r>
        <w:t>GE Cour de justice, 2018-07-17, FR</w:t>
      </w:r>
    </w:p>
    <w:p>
      <w:r>
        <w:rPr>
          <w:b/>
        </w:rPr>
        <w:t xml:space="preserve">Quelle: </w:t>
      </w:r>
      <w:r>
        <w:t>https://mcp.opencaselaw.ch/entscheid/ge_gerichte_P_3449_2017</w:t>
      </w:r>
    </w:p>
    <w:p>
      <w:r>
        <w:t>FR: GE_GERICHTE P/3449/2017 du 17 juillet 2018</w:t>
      </w:r>
    </w:p>
    <w:p>
      <w:r>
        <w:t>IT: GE_GERICHTE P/3449/2017 del 17 luglio 2018</w:t>
      </w:r>
    </w:p>
    <w:p>
      <w:pPr>
        <w:pStyle w:val="Heading2"/>
      </w:pPr>
      <w:r>
        <w:t>Regeste</w:t>
      </w:r>
    </w:p>
    <w:p>
      <w:r>
        <w:t>STUPÉFIANT; MENDICITÉ; FRAIS JUDICIAIRES; CONFISCATION(DROIT PÉNAL) ; INTERPRÈTE | LStup.19.al1; LPG.11A; CPP.426; CPP.429; CP.70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399 al. 4 et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2.1.4.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2.1.5.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6B_65/2016 du 26 avril 2016 consid. 2.2.1, 6B_275/2014 du 5 novembre 2014 consid. 6.2, 6B_157/2011 du 20 septembre 2011 consid. 1.2 et 6B_626/2008 du 11 novembre 2008 consid. 2.1 et les référence citées). 2.1.6. Le critère du modus operandi peut être pris en compte lorsqu'il s'agit d'attribuer une infraction à son auteur présumé (arrêt du Tribunal fédéral 6B_931/2016 du 6 juin 2017 consid. 1.2.2). 2.2.1. 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 ATF 143 IV 117 et arrêt du Tribunal fédéral 6B_367/2016 du 13 avril 2017 consid. 3.1.). Selon l'art. 68 CPP, si la direction de la procédure doit faire appel à un interprète lorsqu'une personne participant à la procédure ne comprend pas la langue utilisée pour celle-ci, il peut toutefois y être renoncé, avec l'accord de cette personne, pour les affaires simples ou urgentes et pour autant que le préposé au procès-verbal maîtrise suffisamment bien la langue de cette personne (art. 68 al. 1, 2ème phrase, CPP). Le CPP n'énumère pas les qualités de ceux qui sont aptes à assumer le rôle de traducteur ( DCPR/121/2011 du 30 mai 2011). 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 SJ 2013 II 429/430 et les références citées). 2.2.2.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w:t>
      </w:r>
    </w:p>
    <w:p>
      <w:r>
        <w:rPr>
          <w:b/>
        </w:rPr>
        <w:t>E. 2.3</w:t>
      </w:r>
    </w:p>
    <w:p>
      <w:r>
        <w:t>En l'espèce, avec son accord exprès, après avoir été informé de la possibilité d'avoir un interprète, l'appelant a été entendu à la police en anglais, indiqué comme sa langue maternelle, par un gendarme maîtrisant cette langue, ce qu'il ne met pas en doute, ses propos ayant été reportés en français dans son procès-verbal d'audition. Il s'agissait assurément d'une affaire simple permettant que cette solution soit adoptée. Bien qu'ayant été interpellé deux fois par la police par le passé et connaissant les rouages de telles auditions, l'appelant a sans autre signé chacune des pages de son procès-verbal, au côté du gendarme, démontrant s'il en était encore besoin qu'il n'avait aucune objection à ce qu'il soit procédé de la sorte et que l'audition s'est déroulée sans incident. Rien au dossier ne laisse, par ailleurs, penser que ses déclarations initiales n'ont pas été fidèlement consignées audit procès-verbal. Lesdites déclarations comportent nombre de détails que les gendarmes ne pouvaient pas connaître eux-mêmes sur les circonstances de l'acquisition de la cocaïne, la provenance des valeurs, ses conditions de vie depuis six mois et sa situation personnelle. Il est ainsi établi que l'appelant a suffisamment su se faire comprendre de la police et que c'est dans un pur but tactique qu'il remet en cause ses premières déclarations. Ses aveux à la police seront partant appréciés à l'aune de l'ensemble des autres éléments de la procédure.</w:t>
      </w:r>
    </w:p>
    <w:p>
      <w:r>
        <w:rPr>
          <w:b/>
        </w:rPr>
        <w:t>E. 3</w:t>
      </w:r>
    </w:p>
    <w:p>
      <w:r>
        <w:t>3.1. 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L'infraction est intentionnelle, le dol éventuel étant suffisant.</w:t>
      </w:r>
    </w:p>
    <w:p>
      <w:r>
        <w:rPr>
          <w:b/>
        </w:rPr>
        <w:t>E. 3.2</w:t>
      </w:r>
    </w:p>
    <w:p>
      <w:r>
        <w:t>Il est clairement établi, ce que reconnaît l'appelant, que le 11 mai 2017, il était en possession de deux boulettes de cocaïne totalisant 1.1 gr, dans son porte-monnaie, des sommes de CHF 2'350.- et EUR 1'405.-, dans sa valise, et de quatre téléphones portables dans les poches de ses vêtement et dans son sac. A la police, il a admis avoir acquis ces deux boulettes l'avant-veille de son interpellation en fournissant le prix d'achat et ce qu'il espérait en retirer, le prix de vente articulé étant celui pratiqué dans la rue. Il a tout au long de la procédure confirmé les circonstances de l'achat de cette drogue. Ses rétractations, après intervention de son avocat, visant à dire qu'elle était destinée à sa propre consommation, ne sont pas crédibles, tant, comme déjà relevé, l'appelant maitrise suffisamment l'anglais pour comprendre et s'être fait comprendre de la police, et sont mises à mal par d'autres éléments l'incriminant pour trafic de stupéfiants. Outre la cocaïne conditionnée pour la revente, l'appelant détenait ces très nombreuses espèces. Les explications fournies tour à tour quant à leur provenance ne sont guère crédibles. La mendicité ne saurait être source de revenus se chiffrant en plusieurs milliers de francs pas plus que la générosité d'une amie dont le nom et l'adresse ne lui sont pas connus. La présence de pas moins de quatre téléphones portables est un indice supplémentaire d'une implication dans le trafic de stupéfiants, tant il est vrai que la seule consommation ne suscite pas un tel besoin. Enfin, son interpellation un an et un mois plus tôt, dans un appartement à Genève, en compagnie de trois ______ [personnes], où étaient entreposés 14 sachets de marijuana et quatre boulettes de cocaïne destinés à la vente et où il logeait également gratuitement – identité du modus operandi – conduit à un faisceau d'indices plaidant en faveur d'un trafic de drogue auquel s'est à nouveau livré l'intimé le 11 mai 2017, à l'exclusion d'une détention de cocaïne pour sa seule consommation. Sa condamnation pour infraction à l'art. 19 al. 1 LStup sera partant confirmée.</w:t>
      </w:r>
    </w:p>
    <w:p>
      <w:r>
        <w:rPr>
          <w:b/>
        </w:rPr>
        <w:t>E. 3.3</w:t>
      </w:r>
    </w:p>
    <w:p>
      <w:r>
        <w:t>À teneur de l'art. 11A LPG, celui qui aura mendié sera puni de l'amende (al. 1). Si l’auteur organise la mendicité d’autrui ou s’il est accompagné d’une ou plusieurs personnes mineures ou dépendantes, l’amende sera de CHF 2'000.- au moins (al. 2).</w:t>
      </w:r>
    </w:p>
    <w:p>
      <w:r>
        <w:rPr>
          <w:b/>
        </w:rPr>
        <w:t>E. 3.4</w:t>
      </w:r>
    </w:p>
    <w:p>
      <w:r>
        <w:t>Contrairement à l'acquisition de la cocaïne retrouvée en sa possession, l'appelant n'a donné aucun détail quant au lieu où il aurait mendié, la fréquence de ses agissements ou le montant qu'il aurait pu en retirer en moyenne. La probabilité est qu'il a fait ces déclarations en pensant qu'elles l'exculperaient de l'infraction à la LStup et lui permettraient de conserver les espèces en provenant, ignorant que la mendicité était une contravention à Genève jusqu'à sa mise en prévention de ce chef. Dans la mesure où ses aveux initiaux ne sont pas circonstanciés, ni étayés par un quelconque autre élément de la procédure, l'appelant sera acquitté du chef d'infraction à l'art. 11A al. 1 LPG.</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En matière de trafic de stupéfiants,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4.1.3.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4.1.4.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4.1.5.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4.2.1. Les nouvelles dispositions sur le droit des sanctions sont entrées en vigueur le 1 er janvier 2018, réforme qui marque incontestablement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4.2.2.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4.2.3.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 moyens suffisants (M. DUPUIS / L. MOREILLON / C. PIGUET / S. BERGER / M. MAZOU / V. RODIGARI, op cit ., n. 4 ad art. 41).</w:t>
      </w:r>
    </w:p>
    <w:p>
      <w:r>
        <w:rPr>
          <w:b/>
        </w:rPr>
        <w:t>E. 4.3</w:t>
      </w:r>
    </w:p>
    <w:p>
      <w:r>
        <w:t>En l'espèce, la faute de l'appelant n’est pas négligeable. Outre s'être livré à un trafic de cocaïne, portant certes sur une quantité limitée, il s'est évertué à venir et à demeurer en Suisse en toute illégalité sur une période de plus de trois mois entre le 4 février et le 11 mai 2017 ce, malgré une précédente condamnation pour les mêmes infractions. Ses mobiles sont égoïstes, relevant de l’appât du gain s’agissant du trafic de stupéfiants. Il se montre désinvolte des règles en vigueur. Même si la précarité de la situation personnelle de l'appelant explique, en partie, ses agissements, elle ne saurait les justifier, étant relevé que son absence totale de liens avec la Suisse rend encore moins compréhensible son insistance à rester dans ce pays d'autant plus qu'il est censé séjourner en Italie, où il a demandé l'asile et a été expulsé en 2016. L'appelant ne se prévaut par ailleurs d'aucun motif qui empêcherait son retour au ______ pour le cas où sa situation en Italie ne lui était plus favorable. L'appelant n'a eu de cesse de remettre constamment en cause, jusqu'en appel, ses premières déclarations où il reconnaissait en particulier un trafic de cocaïne. Sa collaboration a été mauvaise et démontre l'absence de toute prise de conscience du caractère illicite de ses actes. Au contraire, il prétend même vouloir rester en Suisse et obtenir des " papiers ". Il y a concours d'infractions entre les art. 19 al. 1 LStup, 115 al. 1 let. a et 115 al. 1 let. b LEtr, ce qui commande une augmentation de la peine dans une juste proportion. Aucune des circonstances atténuantes prévues par l'art. 48 CP n'est réalisée, ni d’ailleurs plaidée. La peine pécuniaire infligée en avril 2016 n’a eu aucun effet dissuasif. Le pronostic se présente sous un jour défavorable, ce qui exclut le prononcé du sursis. Pour des motifs de prévention spéciale, seule une peine privative de liberté entre en ligne de compte, une peine de travail d'intérêt général n'étant pas compatible avec le statut administratif de l'appelant. La quotité arrêtée à 40 jours en première instance s'avère adéquate et conforme aux éléments de la procédure, et même clémente, de sorte qu'elle sera confirmée. Dans la mesure où le séjour illégal de l'appelant en Suisse sanctionné le 8 juin 2017 l'a été par des jours-amende, la question de la complémentarité de la peine présentement prononcée ne se pose pas. Enfin, il n'y avait pas lieu à renoncer à révoquer le sursis lié à la peine prononcée le 8 juin 2017 dans la mesure où une peine ferme a été prononcée.</w:t>
      </w:r>
    </w:p>
    <w:p>
      <w:r>
        <w:rPr>
          <w:b/>
        </w:rPr>
        <w:t>E. 5</w:t>
      </w:r>
    </w:p>
    <w:p>
      <w:r>
        <w:t>5.1.1. L'art. 70 al. 1 CP autorise le juge à confisquer des valeurs patrimoniales qui sont le résultat d'une infraction, si elles ne doivent pas être restituées au lésé en rétablissement de ses droits. 5.1.2.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 AT II, 2e éd., Berne 2006, § 13, n. 86 ; M. VOUILLOZ, "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5.1.3.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sur un support du même genre (billet de banque, devises, chèques, avoirs en compte ou autres créances), mais également en cas de remploi proprement dit ( echtes Surrogat ),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5.1.4.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5.2</w:t>
      </w:r>
    </w:p>
    <w:p>
      <w:r>
        <w:t>L'appelant réclame la restitution des CHF 2'350.- et EUR 1'405.- saisis dans sa valise. Il a varié dans ses explications s'agissant de leur provenance avançant qu'une partie puis totalité de cette somme lui avait été donnée par son ex-petite amie vivant en France, dont il n'a pu ou voulu donner quelconque information aux fins d'identification, rencontrée en 2016. Cette version n'est étayée par aucun document. L'appelant a concédé en première instance avoir rompu avec cette amie en 2016, ce qui affaiblit encore la force probante de son explication dans la mesure où celle-ci lui aurait ainsi fait don sur quelques mois seulement de près de CHF 5'000.-, sans compter ce qu'il aurait dépensé. La CPAR a exclu supra (consid. 3.5.) que ces espèces soient le produit de la mendicité. L'appelant n'explique pas davantage ce qu'il serait advenu de tout cet argent au moment de son expulsion de Suisse en 2016. Ces déclarations ne sont partant nullement crédibles. Force est d'en conclure que l'intégralité des espèces saisies provient avec grande vraisemblance d'un trafic de stupéfiants de sorte que leur confiscation et leur dévolution à l'Etat sera confirmée.</w:t>
      </w:r>
    </w:p>
    <w:p>
      <w:r>
        <w:rPr>
          <w:b/>
        </w:rPr>
        <w:t>E. 6</w:t>
      </w:r>
    </w:p>
    <w:p>
      <w:r>
        <w:t>6.1.1.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 ATF 116 Ia 162 consid. 2c p. 169 = SJ 1991 27).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La faute exigée doit s'apprécier selon des critères objectifs : il ne suffit pas que l'attitude du prévenu contrevienne à l'éthique (ATF 116 la 162 consid. 2d p. 171 = SJ 1991 27).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(arrêts du Tribunal fédéral ; 6B_380/2016 du 16 novembre 2016 consid. 5.2 ; 6B_262/2015 du 29 janvier 2016 consid. 1.1). 6.1.2.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6.1.3.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Il en résulte qu'en cas de condamnation aux frais, il n'y a pas lieu d'octroyer de dépens ou de réparer le tort moral (ATF 137 IV 352 consid. 2.4.2 p. 357 ; arrêt du Tribunal fédéral 6B_385/2017 du 5 décembre 2017 consid. 2.1). 6.1.4. Lorsqu'une partie qui interjette un recours obtient une décision qui lui est plus favorable, les frais de la procédure peuvent être mis à sa charge lorsque la modification de la décision est de peu d'importance (art. 428 al. 2 let. b CPP). 6.2.1. En l'espèce, l'appelant bénéficie au stade de l'appel d'un acquittement pour la seule contravention à l'art. 11A al. 1 LPG. Inversement, il demeure condamné pour délits à la LStup et à la LEtr, comportements contraires à l'ordre juridique, ayant justifié qu'une procédure pénale soit ouverte contre lui. S'agissant de la contravention à l'art. 11A al. 1 LPG, il sera rappelé que c'est l'appelant qui a soutenu s'être adonné à la mendicité, pour justifier la possession des CHF 2'350.- de provenance douteuse, de sorte qu'il a aussi provoqué l'ouverture d'une instruction de ce chef, laquelle n'a au demeurant pas demandé d'actes d'instruction particuliers. Aussi, la CPAR considère que nonobstant l'issue de la procédure pénale et compte tenu de la nature contraventionnelle de l'infraction pour laquelle l'acquittement est prononcé, il se justifie de mettre à sa charge tous les frais de la procédure qui comprendront un émolument de CHF 1'500.- (art. 428 al. 1 CPP et art. 14 al. 1 lit. e du règlement fixant le tarif des frais en matière pénale du 22 décembre 2010 [RTFMP – RS/GE E 4 10.03]). 6.2.2. Par identité de motifs, l'appelant n'a pas droit à une indemnité pour ses frais d'avocat.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