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P/3446/2020 vom 19. Februar 2020</w:t>
      </w:r>
    </w:p>
    <w:p>
      <w:r>
        <w:t>GE Cour de justice, 2020-02-19, FR</w:t>
      </w:r>
    </w:p>
    <w:p>
      <w:r>
        <w:rPr>
          <w:b/>
        </w:rPr>
        <w:t xml:space="preserve">Quelle: </w:t>
      </w:r>
      <w:r>
        <w:t>https://mcp.opencaselaw.ch/entscheid/ge_gerichte_P_3446_2020</w:t>
      </w:r>
    </w:p>
    <w:p>
      <w:r>
        <w:t>FR: GE_GERICHTE P/3446/2020 du 19 février 2020</w:t>
      </w:r>
    </w:p>
    <w:p>
      <w:r>
        <w:t>IT: GE_GERICHTE P/3446/2020 del 19 febbraio 2020</w:t>
      </w:r>
    </w:p>
    <w:p>
      <w:pPr>
        <w:pStyle w:val="Heading2"/>
      </w:pPr>
      <w:r>
        <w:t>Regeste</w:t>
      </w:r>
    </w:p>
    <w:p>
      <w:r>
        <w:t>SOUPÇON;CONCUBINAGE;EFFETS PERSONNELS | CPP.310; CP.139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Le ministère public prononce également la non-entrée en matière en cas d'empêchement de procéder (art. 310 al. 1 let. b CPP), par exemple si l'action publique est atteinte par la prescription (L. MOREILLON / A. PAREIN-REYMOND, CPP, Code de procédure pénale , Bâle 2016, 2ème éd., n. 13 ad art. 310).</w:t>
      </w:r>
    </w:p>
    <w:p>
      <w:r>
        <w:rPr>
          <w:b/>
        </w:rPr>
        <w:t>E. 3.2</w:t>
      </w:r>
    </w:p>
    <w:p>
      <w:r>
        <w:t>L'art. 139 ch. 1 CP punit, du chef de vol, celui qui, pour se procurer ou procurer à un tiers un enrichissement illégitime, aura soustrait une chose mobilière appartenant à autrui dans le but de se l'approprier. L'infraction au préjudice des proches ou des familiers se poursuit exclusivement sur plainte (art. 139 ch. 4 CP). Le comportement délictueux consiste à soustraire la chose. Autrement dit, une autre personne avait la possession de la chose (même non exclusive), l'auteur la lui enlève contre sa volonté et prend ainsi sa place. Le lésé devait être possesseur de la chose et l'auteur, par la soustraction, a acquis une possession qu'il n'avait pas auparavant (B. CORBOZ, Les infractions en droit suisse , vol. I, Berne 2010, n. 2 ad art. 139 CP). L'auteur du vol doit soustraire la chose dans le but de se l'approprier. Ainsi, il ne suffirait pas que l'auteur ait le dessein d'utiliser temporairement la chose ou de la détruire, il faut qu'il veuille l'incorporer à son patrimoine en vue de la conserver ou de l'aliéner (B. CORBOZ, op. cit , n. 9 ad art. 139 CP).</w:t>
      </w:r>
    </w:p>
    <w:p>
      <w:r>
        <w:rPr>
          <w:b/>
        </w:rPr>
        <w:t>E. 3.3</w:t>
      </w:r>
    </w:p>
    <w:p>
      <w:r>
        <w:t>En l'espèce, il ressort du dossier que la mise en cause aurait emporté à son nouveau domicile en mai ou juin 2019 - après la séparation du couple - des effets personnels appartenant au recourant, avec son accord, qu'elle aurait refusé de lui rendre après leur rupture définitive en novembre 2019. Le recourant admet avoir volontairement prêté différents objets à son ex-compagne, destinés à elle et à sa fille, qu'elle ne lui aurait pas restitués. La mise en cause le conteste, affirmant par ailleurs que certains effets lui avaient été offerts par le recourant. Force est de constater qu'il n'existe à la procédure aucun élément probant apte à établir la propriété de l'une ou l'autre des parties sur les biens litigieux. Quand bien même la propriété du recourant sur certains objets serait avérée, rien ne permet de contredire les affirmations de la mise en cause selon lesquelles il lui aurait donné ou offert certains biens. Partant, c'est à bon droit que le Ministère public a considéré, eu égard aux déclarations contradictoires des parties, que les éléments constitutifs d'un vol n'étaient pas remplis, ce qu'aucun acte d'enquête utile n'est propre à infirmer.</w:t>
      </w:r>
    </w:p>
    <w:p>
      <w:r>
        <w:rPr>
          <w:b/>
        </w:rPr>
        <w:t>E. 4</w:t>
      </w:r>
    </w:p>
    <w:p>
      <w:r>
        <w:t>L'ordonnance querellée sera par conséquent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