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P/3442/2019 vom 23. März 2020</w:t>
      </w:r>
    </w:p>
    <w:p>
      <w:r>
        <w:t>GE Cour de justice, 2020-03-23, FR</w:t>
      </w:r>
    </w:p>
    <w:p>
      <w:r>
        <w:rPr>
          <w:b/>
        </w:rPr>
        <w:t xml:space="preserve">Quelle: </w:t>
      </w:r>
      <w:r>
        <w:t>https://mcp.opencaselaw.ch/entscheid/ge_gerichte_P_3442_2019</w:t>
      </w:r>
    </w:p>
    <w:p>
      <w:r>
        <w:t>FR: GE_GERICHTE P/3442/2019 du 23 mars 2020</w:t>
      </w:r>
    </w:p>
    <w:p>
      <w:r>
        <w:t>IT: GE_GERICHTE P/3442/2019 del 23 marzo 2020</w:t>
      </w:r>
    </w:p>
    <w:p>
      <w:pPr>
        <w:pStyle w:val="Heading2"/>
      </w:pPr>
      <w:r>
        <w:t>Regeste</w:t>
      </w:r>
    </w:p>
    <w:p>
      <w:r>
        <w:t>IN DUBIO PRO REO;LÉGITIME DÉFENSE | LEI.115.al1.letA; LEI.115.al1.letB; LEI.115.al1.letC; CP.123; CP.122; CP.22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En l'espèce, l'appelant plaide son acquittement, en vertu du principe in dubio pro reo , voire en raison de l'absence d'une quelconque volonté de sa part de blesser l'intimé. Sur la base des éléments de la procédure, la CPAR considère comme établi qu'une dispute a éclaté le 14 février 2019 entre les deux parties en raison de la gêne occasionnée par l'emplacement d'un bol de nouille. Leurs déclarations s'accordent sur le fait que l'appelant a saisi l'intimé par le col de sa chemise. La crédibilité générale de l'intimé est moyenne, ce dernier ayant fluctué et cherché à amoindrir son implication, mais force est de constater qu'il a de façon constante, tant aux autorités pénales que médicales, expliqué avoir reçu deux coups de poings dans le visage de la part de l'appelant, dont l'un au moins a, conformément à l'expertise médicale, laissé une contusion. L'appelant l'a contesté, sans livrer toutefois une autre version plus crédible. Il est partant établi qu'il a causé une ecchymose au front de l'intimé, tel que le TCO l'a retenu, se rendant par-là coupable d'une lésion corporelle simple. Les deux hommes se sont ensuite empoignés pour se retrouver " noués " l'un à l'autre, avant que le cuisinier ne tente de les séparer. Les deux parties paraissaient encore prêtes à en découdre, le cuisinier ayant indiqué que chacune s'était rapprochée de l'autre et qu'elles étaient très en colère. L'appelant a saisi un hachoir. C'est probablement à ce moment-là que la victime a pris un léger récipient et l'a soit lâché au sol, soit lancé sur le prévenu. Ce dernier a tenté d'abattre le tranchant sur la tête de l'intimé, tel que ce dernier l'a toujours dit, sans que cela ne soulève de protestations de la part de l'appelant. L'intimé a pu se protéger en plaçant son bras droit devant le visage, seul son avant-bras présentant une coupure profonde. L'intimé a admis avoir asséné un coup de poing après ce moment-là au prévenu, mais conteste avoir lancé sur lui des objets, que ce soit un verre ou un récipient en inox. Le prévenu a quant à lui été trop fluctuant dans ses explications à ce sujet qu'il soit possible d'en retenir une version. La bagarre s'est terminée plus ou moins après ce coup de hachoir. Peu importe que l'appelant ait saisi le col de l'intimé plutôt que son cou aux prémices de la dispute ou que leurs dialectes puissent être source de malentendu. Le fait qu'il ne soit pas possible de déterminer qui a débuté la bagarre ou " à quel degré de menace [l'appelant] [s'était] senti soumis en saisissant le hachoir " n'a pas d'influence sur l'examen de sa culpabilité. Sur le coeur des faits, tels qu'exposés dans l'acte d'accusation, il ne subsiste aucun doute. Donner un coup de hachoir en direction du crâne de la partie plaignante présentait indubitablement le risque de la défigurer, de provoquer des lésions intracrâniennes et cérébrales aux conséquences durables, voire de mettre sa vie en danger, ce dont l'appelant avait pleinement conscience, puisqu'il l'a reconnu devant le MP. Rien ne met ainsi en doute son intention de blesser son adversaire. Sa culpabilité pour tentative de lésions corporelles graves et pour lésions corporelles simples sera partant confirmée.</w:t>
      </w:r>
    </w:p>
    <w:p>
      <w:r>
        <w:rPr>
          <w:b/>
        </w:rPr>
        <w:t>E. 2.3</w:t>
      </w:r>
    </w:p>
    <w:p>
      <w:r>
        <w:t>L'appelant reproche au TCO de ne pas l'avoir mis au bénéfice du motif justificatif de la légitime défense. Quiconque, de manière contraire au droit, est attaqué ou menacé d'une attaque imminente a le droit de repousser l'attaque par des moyens proportionnés aux circonstances ; le même droit appartient aux tiers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ATF 104 IV 232 consid. c p. 236 s. ; arrêts du Tribunal fédéral 6B_600/2014 du 23 janvier 2015 consid. 5.1 non publié in ATF 141 IV 61 ; 6B_632/2011 du 19 mars 2012 consid. 2.1). Cette condition n'est pas réalisée lorsque l'attaque a cessé ou qu'il n'y a pas encore lieu de s'y attendre. Une attaque n'est cependant pas achevée aussi longtemps que le risque d'une nouvelle atteinte ou d'une aggravation de celle-ci par l'assaillant reste imminent (ATF 102 IV 1 consid. 2b p. 4 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 83 ; arrêts du Tribunal fédéral 6B_130/2017 du 27 février 2018 consid. 3.1 = SJ 2018 I 385 ; 6B_346/2016 du 31 janvier 2017 consid. 2.1.2). La légitime défense ne peut être invoquée par le provocateur, savoir celui qui fait en sorte d'être attaqué pour pouvoir porter atteinte aux biens juridiques d'autrui sous le couvert de la légitime défense (ATF 104 IV 53 consid. 2a p. 56 ; arrêts du Tribunal fédéral 6B_6/2017 du 28 février 2018 consid. 4.1 ; 6B_585/2016 du 7 décembre 2016 consid. 3.3).</w:t>
      </w:r>
    </w:p>
    <w:p>
      <w:r>
        <w:rPr>
          <w:b/>
        </w:rPr>
        <w:t>E. 2.4</w:t>
      </w:r>
    </w:p>
    <w:p>
      <w:r>
        <w:t>Il ressort de l'appréciation des faits supra que l'appelant a initié la bagarre, à tout le moins en saisissant l'intimé par son col et tout au plus en lui infligeant deux coups de poing dans la figure. L'appelant peut dès lors difficilement se positionner comme victime d'une attaque, dans la mesure où il a provoqué la confrontation. De plus, il appert que les parties se sont mutuellement injuriées et empoignées, l'appelant se positionnant comme une partie active et prenante au combat. Il sera d'ailleurs relevé que le cuisinier a rapporté de façon constante l'implication réciproque des deux acteurs. Il ressort certes du témoignage du chef, à prendre, pour cet épisode, avec précaution dans la mesure où il s'est contredit sur sa position dans la cuisine, que l'intimé a été le premier à se diriger vers l'appelant après qu'ils aient plus ou moins été séparés. Rien n'indique cependant que les parties se soient accordées une sorte de trêve. L'appelant en particulier n'a jamais déclaré qu'il considérait le conflit terminé à ce stade. Elles restaient au contraire dans la bagarre, chacune continuant à s'insulter et restant très en colère. Il convient d'interpréter tel geste de la partie plaignante (mouvement vers son collègue, éventuel jet d'un récipient en inox) ou l'autre du prévenu (saisie du hachoir) comme partie intégrante de la bagarre. Il sera partant retenu que le coup de hachoir a été donné par l'appelant, non pas à la suite d'une agression unilatérale de l'intimé, mais au coeur de l'altercation. On comprend de son mémoire d'appel qu'il ne le conteste en réalité pas. Il a prétendu avoir été effrayé, ce qui pour lui prouverait qu'il ait été attaqué. De prime abord, le fait d'être apeuré et dans une position de faiblesse ne veut pas encore dire que l'on est dans une position de défense. Par-dessus-tout, ses émotions ne ressortent pas des autres éléments au dossier, en particulier du témoignage du chef. Ce dernier a rapporté une bagarre, en ne positionnant jamais le commis comme une victime ou une personne effrayée. Le fait d'abattre le hachoir en direction du visage de l'intimé ne constituait pas un acte de défense mais d'attaque, poursuivant ce que l'appelant avait lui-même initié. En conclusion, c'est à juste titre que le TCO n'a pas mis l'appelant au bénéfice de la légitime défense. Le jugement entrepris sera confirmé.</w:t>
      </w:r>
    </w:p>
    <w:p>
      <w:r>
        <w:rPr>
          <w:b/>
        </w:rPr>
        <w:t>E. 3</w:t>
      </w:r>
    </w:p>
    <w:p>
      <w:r>
        <w:t>L'appelant ne remet à juste titre pas en cause la quotité de sa peine, adéquate vu la gravité certaine de sa faute.</w:t>
      </w:r>
    </w:p>
    <w:p>
      <w:r>
        <w:rPr>
          <w:b/>
        </w:rPr>
        <w:t>E. 4</w:t>
      </w:r>
    </w:p>
    <w:p>
      <w:r>
        <w:t>L'appelant a pris une conclusion tendant à la renonciation de son expulsion, s'abstenant de toute motivation. Si tant est que cette conclusion soit recevable, la CPAR retient que c'est à juste titre que le TCO a ordonné son expulsion, l'intérêt public le commandant. L'appelant n'a pas allégué, à juste titre, avoir une quelconque attache avec la Suisse, mais n'a surtout pas critiqué le raisonnement du TCO selon lequel sa prétendue crainte de la mafia n'était étayée par aucun élément au dossier. La durée de cinq ans est proportionnée. Partant, le jugement entrepris sera également confirmé sur ce point.</w:t>
      </w:r>
    </w:p>
    <w:p>
      <w:r>
        <w:rPr>
          <w:b/>
        </w:rPr>
        <w:t>E. 5</w:t>
      </w:r>
    </w:p>
    <w:p>
      <w:r>
        <w:t>En cas de condamnation, l'appelant ne conteste ni le principe ni le montant des indemnités de base au sens des art. 41 et 47 CO allouées à l'intimé. Il sera partant renvoyé aux considérants du jugement du TCO à ce sujet. L'appelant critique en revanche qu'aucune réduction n'ait été imputée.</w:t>
      </w:r>
    </w:p>
    <w:p>
      <w:r>
        <w:rPr>
          <w:b/>
        </w:rPr>
        <w:t>E. 5.1</w:t>
      </w:r>
    </w:p>
    <w:p>
      <w:r>
        <w:t>Au sens de l'art. 44 al. 1 CO, le juge peut réduire les dommages-intérêts, ou même n'en point allouer, lorsque la partie lésée a consenti à la lésion ou lorsque des faits dont elle est responsable ont contribué à créer le dommage, à l'augmenter, ou qu'ils ont aggravé la situation du débiteur. L'art. 44 al. 2 CP dispose que, lorsque le préjudice n'a été causé ni intentionnellement ni par l'effet d'une grave négligence ou imprudence, et que sa réparation exposerait le débiteur à la gêne, le juge peut équitablement réduire les dommages-intérêts.</w:t>
      </w:r>
    </w:p>
    <w:p>
      <w:r>
        <w:rPr>
          <w:b/>
        </w:rPr>
        <w:t>E. 5.2</w:t>
      </w:r>
    </w:p>
    <w:p>
      <w:r>
        <w:t>Une réduction au sens de l'alinéa 2 de l'art. 44 CO est en espèce exclue dans la mesure où le préjudice a été causé intentionnellement par l'appelant. De plus, l'intimé ne peut être tenu pour responsable d'avoir créé ou augmenté son dommage vu le déroulement des faits tel que retenu supra . Aucune réduction ne sera ainsi ordonnée. Le montant des indemnités allouées à la partie plaignante sera en conséquence confirmé.</w:t>
      </w:r>
    </w:p>
    <w:p>
      <w:r>
        <w:rPr>
          <w:b/>
        </w:rPr>
        <w:t>E. 6</w:t>
      </w:r>
    </w:p>
    <w:p>
      <w:r>
        <w:t>6.1. L'appelant succombe dans l'intégralité de ses conclusions, de sorte que les frais de procédure d'appel, comprenant un émolument de CHF 2'000.- (art. 14 let. e du règlement fixant le tarif des frais en matière pénale du 22 décembre 2010 [RTFMP - RS/GE E 4 10.03]), seront mis à sa charge (art. 428 al.1 CPP).</w:t>
      </w:r>
    </w:p>
    <w:p>
      <w:r>
        <w:rPr>
          <w:b/>
        </w:rPr>
        <w:t>E. 6.2</w:t>
      </w:r>
    </w:p>
    <w:p>
      <w:r>
        <w:t>L'appelant ayant été condamné pour la majeure partie des faits reprochés, il ne peut prétendre à une indemnité sur la base de l'art. 429 CPP. Il a certes été acquitté pour le chef d'entrée illégale mais, comme soulevé à juste titre par le MP, il n'a articulé aucun montant, bénéficiant en outre d'une défense d'office, n'ayant ainsi pas de frais de défense (ATF 138 IV 205 consid. 1 p. 206). Il paraît en outre ne pas avoir, pour ce chef uniquement, subi de dommage économique en raison de sa participation à la procédure pénale ou de détention excessive. Sa demande en indemnisation sera dès lors rejetée.</w:t>
      </w:r>
    </w:p>
    <w:p>
      <w:r>
        <w:rPr>
          <w:b/>
        </w:rPr>
        <w:t>E. 7</w:t>
      </w:r>
    </w:p>
    <w:p>
      <w:r>
        <w:t>7.1. Selon l'art. 135 al. 1 CPP, le défenseur d'office ou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7.2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 que la déclaration d'appel (décisions de la Cour des plaintes du Tribunal pénal fédéral BB.2013.165 du 24 janvier 2014 consid. 4.1.3 et BB.2013.127 du 4 décembre 2013 consid. 4.2).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 AARP/425/2013 du 12 septembre 2013, AARP/281/2015 du 25 juin 2015, AARP/184/2016 du 28 avril 2016 consid. 5.3.1). Des exceptions demeurent possibles, charge à l'avocat de justifier l'ampleur d'opérations dont la couverture ne serait pas assurée par le forfait.</w:t>
      </w:r>
    </w:p>
    <w:p>
      <w:r>
        <w:rPr>
          <w:b/>
        </w:rPr>
        <w:t>E. 7.3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pour les stagiaires.</w:t>
      </w:r>
    </w:p>
    <w:p>
      <w:r>
        <w:rPr>
          <w:b/>
        </w:rPr>
        <w:t>E. 7.4</w:t>
      </w:r>
    </w:p>
    <w:p>
      <w:r>
        <w:t>En l'occurrence, la note d'honoraire du défenseur d'office de l'appelant, excessive, doit être revue à la baisse. En effet, la lecture du jugement motivé et la préparation de la déclaration d'appel ainsi que de réquisitions de preuve (3h40) font partie du forfait pour activités diverses et doivent être retranchées. Le poste de " préparation du mémoire d'appel " (46h15) sera réduit à 8h, à savoir 2h d'activité de chef d'étude et 6h d'activité de l'avocat stagiaire. La lecture des écritures du MP et la préparation du mémoire de réplique seront réduites de 7h20 à 1h d'activité de chef d'étude et 1h d'activité de l'avocat stagiaire. Les trois vacations au Palais de justice sont inutiles, vu l'absence de débats. Les deux entretiens entre l'appelant et son conseil seront indemnisés (2h). En conclusion, l'indemnité de M e B______ sera arrêtée à CHF 2'297.- correspondant à 5 heures d'activité au tarif de CHF 200.-/heure (CHF 1'000.-) et 7h d'activité au tarif de CHF 110.- (CHF 770.-) plus la majoration forfaitaire de 10 % (CHF 177.-), vu l'activité indemnisée en première instance, et l'équivalent de la TVA au taux de 7.7% (CHF 150.-), ainsi que CHF 200.- correspondant aux frais d'interprète</w:t>
      </w:r>
    </w:p>
    <w:p>
      <w:r>
        <w:rPr>
          <w:b/>
        </w:rPr>
        <w:t>E. 7.5</w:t>
      </w:r>
    </w:p>
    <w:p>
      <w:r>
        <w:t>L'état de frais produit par le conseil de C______ paraît adéquat et conforme aux dispositions et principes qui précèdent, de sorte qu'il sera admis sans en reprendre le détail. En conclusion, l'indemnité de M e D______ sera arrêtée à CHF 2'073.20 correspondant à 8h45 d'activité au tarif de CHF 200.-/heure (CHF 1'750.-) plus la majoration forfaitaire de 10 % (CHF 175.-) et l'équivalent de la TVA au taux de 7.7% (CHF 148.2).</w:t>
      </w:r>
    </w:p>
    <w:p>
      <w:r>
        <w:rPr>
          <w:b/>
        </w:rPr>
        <w:t>E. 8</w:t>
      </w:r>
    </w:p>
    <w:p>
      <w:r>
        <w:t>Le TCO a spécifié dans son dispositif avoir ordonné, par prononcé séparé, le maintien en détention pour des motifs de sûreté de A______. Dans la mesure où il a été entretemps libéré le 13 décembre 2019, le jugement sera annulé sur ce point.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