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P/3428/2019 vom 23. Januar 2020</w:t>
      </w:r>
    </w:p>
    <w:p>
      <w:r>
        <w:t>GE Cour de justice, 2020-01-23, FR</w:t>
      </w:r>
    </w:p>
    <w:p>
      <w:r>
        <w:rPr>
          <w:b/>
        </w:rPr>
        <w:t xml:space="preserve">Quelle: </w:t>
      </w:r>
      <w:r>
        <w:t>https://mcp.opencaselaw.ch/entscheid/ge_gerichte_P_3428_2019</w:t>
      </w:r>
    </w:p>
    <w:p>
      <w:r>
        <w:t>FR: GE_GERICHTE P/3428/2019 du 23 janvier 2020</w:t>
      </w:r>
    </w:p>
    <w:p>
      <w:r>
        <w:t>IT: GE_GERICHTE P/3428/2019 del 23 gennaio 2020</w:t>
      </w:r>
    </w:p>
    <w:p>
      <w:pPr>
        <w:pStyle w:val="Heading2"/>
      </w:pPr>
      <w:r>
        <w:t>Regeste</w:t>
      </w:r>
    </w:p>
    <w:p>
      <w:r>
        <w:t>INFRACTION PAR MÉTIER | CP.139.al2; CP.47; CPP.10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l'art. 10 al. 3 du code de procédure pénale suisse du 5 octobre 2007 (CPP ;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139 ch. 2 CP prévoit que le vol est puni d'une peine privative de liberté de dix ans au plus ou d'une peine pécuniaire de 90 jours-amende au moins si son auteur fait métier du vol.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l'aggravante du métier absorbe la tentative (ATF 123 IV 113 consid. 2c et d).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(ATF 129 IV 188 consid. 3.1.2), l'aggravation du vol par métier n'exige ni chiffre d'affaires ni gain importants (arrêt du Tribunal fédéral 6B_1043/2017 du 14 août 2018 consid. 1.1). 2.1.3. 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2.2.1. En l'espèce, l'appelant affirme n'avoir endommagé des véhicules qu'à deux reprises et n'en avoir « cassé » que cinq à six dans le parking P51 la première fois, sans préciser de date exacte, et sept le jour de son interpellation dans le parking P1, soit le 29 janvier 2019. Ses propos ne sont pas crédibles. L'appelant a reconnu plusieurs fois en cours de procédure s'être rendu très régulièrement, à raison d'une fois par semaine, dans de nombreux parkings du canton de Genève, notamment ceux de l'aéroport, pour y voler dans les véhicules. Il a de plus admis qu'il était possible qu'il se soit intéressé à une centaine de véhicules et que sur ce nombre il y en avait toujours un ou deux qui étaient ouverts. Par ailleurs, il a reconnu que parfois, il « cassait » des véhicules pour les fouiller, et que lorsqu'il procédait de la sorte, le modus operandi était toujours le même, à savoir qu'il brisait la vitre arrière - ce qui est le cas de tous les véhicules endommagés retenus dans le jugement de première instance. La probabilité qu'un autre casseur ait agi exactement dans les mêmes parkings, aux mêmes dates et selon le même mode opératoire est quasiment nulle, étant relevé qu'aucun nouveau cas n'a été signalé suite à l'arrestation de l'appelant qui a déclaré n'avoir vu aucun autre casseur à l'oeuvre dans les parkings de l'aéroport. Le prévenu a systématiquement contesté les faits avant de les admettre très partiellement lorsqu'il était confronté à des preuves matérielles ou à ses propres contradictions. Il n'a ainsi pas été constant dans ses déclarations, qu'il s'agisse du nombre de véhicules qu'il avait endommagés ou des dates auxquelles il avait agi. Il a admis dans un premier temps avoir agi le 29 janvier 2019 dans le parking P1 mais également une semaine auparavant, soit aux alentours du 22 janvier 2019 et aux alentours du 10 février 2019 dans le parking P51, avant de contester au stade de l'appel avoir agi le 22 janvier 2019 et de n'admettre finalement que deux épisodes dont le premier se situait entre le 25 décembre 2018 et le 16 janvier 2019. Les explications peu claires de l'appelant ont varié en cours de procédure et n'ont ainsi aucune crédibilité. La CPAR a acquis la conviction que ce dernier est bien l'auteur de l'ensemble des cas de véhicules endommagés retenus par le premier juge. Le prévenu ne peut pas non plus être suivi lorsqu'il soutient n'avoir emporté que de l'argent de peu de valeur. Ses explications selon lesquelles il n'avait aucun objet sur lui lorsque la police a tenté de l'interpeller le 29 janvier 2019, n'emportent pas conviction - étant précisé que ses dires ne peuvent être vérifiés, ce dernier ayant réussi à prendre la fuite. Au vu du nombre de plaintes et d'objets déclarés volés, il n'est de toute façon pas crédible que l'ensemble des parties plaignantes aient menti à cet égard. L'appelant sera ainsi reconnu coupable de l'ensemble des cas de vols retenus par le TP. Le cas de W______ ne fera pas exception, étant précisé que le véhicule de cette dernière correspond à ceux visés par l'appelant, étant de marque BD______ et que les faits se sont produits entre le 8 et le 9 février 2019, soit aux alentours du 10 février 2019, date initialement admise par l'appelant en cours de procédure. Le jugement de première instance sera ainsi confirmé pour l'ensemble des vols, tentatives de vols et de dommages à la propriété retenus. Compte tenu du nombre de cas retenus, du temps consacré à cette activité et des revenus envisagés ou obtenus, l'aggravante du métier sera retenue - étant relevé que l'appelant a indiqué qu'il passait son temps dans les parkings dans le but de fouiller des véhicules et d'y commettre des vols et qu'il utilisait l'argent ainsi récolté pour sa famille ou pour sa consommation d'alcool. Au vu de ce qui précède, l'appelant sera reconnu coupable de vol par métier au sens de l'art. 139 ch. 1 et 2 CP et de dommages à la propriété au sens de l'art. 144 al. 1 CP. 2.2.2. Selon l'art. 122 al. 1 et 2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Selon la même disposition, il renvoie la partie plaignante à agir par la voie civile lorsque la partie plaignante n'a pas chiffré ses conclusions de manière suffisamment précise ou ne les a pas suffisamment motivées (al. 2 let. b). Chacun est tenu de réparer le dommage qu'il cause à autrui d'une manière illicite, soit intentionnellement, soit par négligence ou imprudence (art. 41 al. 1 CO). La preuve du dommage incombe au demandeur (art. 42 al. 1 CO). Au vu de ce qui précède, l'ensemble des conclusions civiles admises par le Tribunal de police seront confirmées, lesquelles sont chiffrées et motivées à satisfaction.</w:t>
      </w:r>
    </w:p>
    <w:p>
      <w:r>
        <w:rPr>
          <w:b/>
        </w:rPr>
        <w:t>E. 3.1</w:t>
      </w:r>
    </w:p>
    <w:p>
      <w:r>
        <w:t>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3.2</w:t>
      </w:r>
    </w:p>
    <w:p>
      <w:r>
        <w:t>Selon l'art. 42 al. 1 CP, le juge suspend en règle générale l'exécution d'une peine pécuniaire ou d'une peine privative de liberté de deux ans au plus lorsqu'une peine ferme ne paraît pas nécessaire pour détourner l'auteur d'autres crimes ou délits. A teneur de l'art. 43 al. 1 CP, le juge peut suspendre partiellement l'exécution d'une peine privative de liberté d'un an au moins et de trois ans au plus afin de tenir compte de façon appropriée de la faute de l'auteur.</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Il est admissible, le cas échéant, que la juridiction d'appel motive de manière succincte la peine infligée et renvoie à l'appréciation du jugement de première instance pour le surplus (cf. art. 82 al. 4 CPP; ATF 141 IV 244 consid. 1.2.3; arrêt du Tribunal fédéral 6B_984/2016 du 19 juillet 2017 consid. 1.2).</w:t>
      </w:r>
    </w:p>
    <w:p>
      <w:r>
        <w:rPr>
          <w:b/>
        </w:rPr>
        <w:t>E. 3.5</w:t>
      </w:r>
    </w:p>
    <w:p>
      <w:r>
        <w:t>En l'espèce, l'appelant requiert une peine privative de liberté moins importante que celle prononcée par le TP et que celle-ci soit assortie d'un sursis partiel en cas de peine privative de liberté supérieure à un an. Comme retenu à juste titre par le premier juge, la faute du prévenu est importante. Il a agi à de très nombreuses reprises, par pur appât du gain, et de façon égoïste, endommageant de très nombreux véhicules et dérobant divers objets et valeurs. Il a agi de façon méthodique en choisissant des véhicules de luxe en espérant obtenir un butin de plus grande valeur. Il a également choisi d'agir dans des parkings longue durée, minimisant ainsi le risque d'être surpris. Ses agissements ont créé d'importants désagréments aux plaignants, lesquels ont retrouvé leur véhicule endommagé à leur retour de voyage ou ne l'ont pas retrouvé dans le parking, celui-ci ayant été enlevé et déposé dans une société de gardiennage. Au vu du nombre de cas qui lui sont imputés sur une période pénale relativement longue, il a fait preuve d'une intense volonté délictuelle, et cela indépendamment du butin obtenu. Sa collaboration a été mauvaise, n'ayant admis que quelques cas et uniquement lorsqu'il n'avait pas le choix, minimisant grandement ses actes. Sa prise de conscience est mauvaise au vu de ses dénégations répétées. Il y a concours d'infractions, facteur d'aggravation de la peine dans une juste proportion et cumul de peines d'un genre différent. Les antécédents de l'appelant sont mauvais et spécifiques. Les précédentes condamnations prononcées à son encontre n'ont pas eu l'effet dissuasif escompté, notamment la condamnation du MP du 12 janvier 2019. Sa situation personnelle n'explique ni ne justifie ses agissements. Il avait la possibilité de travailler et de gagner sa vie légalement. Aucune circonstance atténuante n'est réalisée, ni plaidée au demeurant. Sa responsabilité est pleine et entière. Fixée à 16 mois par le premier juge, la peine privative de privative de liberté en lien avec les infractions de vol par métier (art. 139 ch. 1 et 2 CP), de dommages à la propriété (art. 144 al. 1 CP), de violation de domicile (art. 186 CP), de conduite sous interdiction d'utilisation du permis (art. 95 al. 1 let. b LCR) de violation grave des règles de la circulation routière (art. 90 al. 2 LCR) et de vol d'usage (art. 94 al. 1 let. a LCR) respecte pleinement les critères de fixation de la peine de même que la jurisprudence relative aux peines complémentaires (cf. arrêt du Tribunal fédéral 6B_144/2019 du 17 mai 2019 consid. 4.3.1) en lien avec la condamnation du prévenu par le MP du 12 janvier 2019. Compte tenu des antécédents de l'appelant, de son absence de prise de conscience, et de la faute importante de ce dernier comme susmentionné, le pronostic quant à son comportement futur se présente sous un jour défavorable, de sorte que le sursis ne lui sera pas octroyé. La peine-pécuniaire de dix jours-amende à CHF 20.- en lien avec l'empêchement d'accomplir un acte officiel (art. 286 CP et art. 34 CP) sera confirmée de même que l'amende de CHF 800.- relative à l'obtention frauduleuse d'une prestation d'importance mineure (art. 150 CP cum art. 172ter CP), à la violation simple des règles sur la circulation routière (art. 90 al. 1 CP) et à la conduite d'un véhicule sans être porteur des permis ou autorisations nécessaires (art. 99 al. 1 let. b LCR) (art. 106 CP) ; ce montant tient parfaitement compte de la faute de l'appelant et de sa situation personnelle et financière. La peine privative de liberté de substitution de huit jours sera elle aussi confirmée, respectant le taux de conversion généralement appliqué et admis par la jurisprudence (cf. R. ROTH / L. MOREILLON [éds], Code pénal I : art. 1-100 CP , Bâle 2009, n. 19 art. 106 et notamment AARP/428/2019 du 12 décembre 2019 consid. 3.6; AARP/318/2019 du 25 septembre 2019 consid 3.1.5.2; AARP/300/2019 du 10 septembre 2019 consid. 3.4).</w:t>
      </w:r>
    </w:p>
    <w:p>
      <w:r>
        <w:rPr>
          <w:b/>
        </w:rPr>
        <w:t>E. 4</w:t>
      </w:r>
    </w:p>
    <w:p>
      <w:r>
        <w:t>4.1. A teneur de l'art. 66a al. 1 lit. c CP, le juge expulse de Suisse l'étranger qui est condamné pour vol qualifié, quelle que soit la quotité de la peine prononcée à son encontre, et cela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4.2</w:t>
      </w:r>
    </w:p>
    <w:p>
      <w:r>
        <w:t>En l'espèce, vu le verdict de culpabilité de l'appelant de vol qualifié, l'expulsion est obligatoire. La renonciation, qui doit rester exceptionnelle, n'entre pas ici en ligne de compte, le prévenu n'ayant aucune attache avec la Suisse, en particulier ni famille, ni travail. L'expulsion de Suisse de l'appelant prononcée par le TP pour cinq ans, durée proportionnée à sa culpabilité et aux troubles causés, sera confirmée.</w:t>
      </w:r>
    </w:p>
    <w:p>
      <w:r>
        <w:rPr>
          <w:b/>
        </w:rPr>
        <w:t>E. 5</w:t>
      </w:r>
    </w:p>
    <w:p>
      <w:r>
        <w:t>Les motifs ayant conduit le premier juge à prononcer, par ordonnance séparée du</w:t>
      </w:r>
    </w:p>
    <w:p>
      <w:r>
        <w:rPr>
          <w:b/>
        </w:rPr>
        <w:t>E. 9</w:t>
      </w:r>
    </w:p>
    <w:p>
      <w:r>
        <w:t>juillet 2019, le maintien de l'appelant en détention pour des motifs de sûreté sont toujours d'actualité, ce que celui-ci ne conteste au demeurant pas, de sorte que la mesure sera reconduite mutatis mutandis (ATF 139 IV 277 consid. 2.2 à 2.3). 6. Les frais arrêtés en première instance seront confirmés (art. 426 CPP). 7. L'appelant, qui succombe, supportera les frais de la procédure envers l'Etat (art. 428 CPP). 8. 8.1.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AARP/436/2019 du 18 décembre 2019 consid. 6.2 et 6.4; AARP/184/2016 du 28 avril 2016 consid. 5.2.3.2 et 5.3.1 ; AARP/149/2016 du 20 avril 2016 consid. 5.3 et 5.4) et la déclaration d'appel (ordonnance de la Cour des plaintes du Tribunal pénal fédéral BB.2014.51 du 21 novembre 2014 consid. 2.1). 8.3.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55.- / CHF 75.- / CHF 100.- pour les stagiaires / collaborateurs / chefs d'étude, dite rémunération étant allouée d'office par la juridiction d'appel pour les débats devant elle. 8.4. En l'espèce, de l'état de frais de M e C______ au titre de l'activité du stagiaire, seront déduites une heure concernant la revue du jugement de première instance et la préparation de la déclaration d'appel, une heure concernant les déterminations au TMC et 45 minutes concernant la revue des déterminations du MP et la réplique au TMC, qui entrent dans le forfait pour activités diverses, ne nécessitant que peu de motivation ou autre investissement particulier en termes de travail juridique. Les 30 minutes de recherches juridiques sur l'indemnisation seront également déduites de l'état de frais, n'étant pas en lien avec la défense du prévenu. Le surplus sera retenu et s'y ajoutera la durée des débats d'appel. L'indemnité de M e C______ sera ainsi arrêtée à CHF 2'938.05 correspondant à 20 heures et 15 minutes d'activité au tarif de CHF 110.- de l'heure (CHF 2'227.50), plus la majoration forfaitaire de 20% (CHF 445.50), le forfait de déplacement de CHF 55.- et l'équivalent de la TVA au taux de 7.7% en CHF 210.05.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