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P/3422/2023 vom 20. Februar 2023</w:t>
      </w:r>
    </w:p>
    <w:p>
      <w:r>
        <w:t>GE Cour de justice, 2023-02-20, FR</w:t>
      </w:r>
    </w:p>
    <w:p>
      <w:r>
        <w:rPr>
          <w:b/>
        </w:rPr>
        <w:t xml:space="preserve">Quelle: </w:t>
      </w:r>
      <w:r>
        <w:t>https://mcp.opencaselaw.ch/entscheid/ge_gerichte_P_3422_2023</w:t>
      </w:r>
    </w:p>
    <w:p>
      <w:r>
        <w:t>FR: GE_GERICHTE P/3422/2023 du 20 février 2023</w:t>
      </w:r>
    </w:p>
    <w:p>
      <w:r>
        <w:t>IT: GE_GERICHTE P/3422/2023 del 20 febbraio 2023</w:t>
      </w:r>
    </w:p>
    <w:p>
      <w:pPr>
        <w:pStyle w:val="Heading2"/>
      </w:pPr>
      <w:r>
        <w:t>Regeste</w:t>
      </w:r>
    </w:p>
    <w:p>
      <w:r>
        <w:t>DÉTENTION PROVISOIRE;DROIT D'ÊTRE ENTENDU;MOTIVATION DE LA DÉCISION | CPP.221; Cst.29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qui reproche au TMC d'avoir insuffisamment motivé sa décision, invoque une violation de son droit d'être entendu.![endif]&gt;![if&gt;</w:t>
      </w:r>
    </w:p>
    <w:p>
      <w:r>
        <w:rPr>
          <w:b/>
        </w:rPr>
        <w:t>E. 2.1</w:t>
      </w:r>
    </w:p>
    <w:p>
      <w:r>
        <w:t>L'obligation de motiver, telle qu'elle découle du droit d'être entendu (art. 29 al. 2 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w:t>
      </w:r>
    </w:p>
    <w:p>
      <w:r>
        <w:rPr>
          <w:b/>
        </w:rPr>
        <w:t>E. 2.2</w:t>
      </w:r>
    </w:p>
    <w:p>
      <w:r>
        <w:t>En l'espèce, le TMC a dûment motivé sa décision. L'ordonnance querellée résume les faits reprochés au recourant, ainsi que les déclarations de celui-ci à la police et devant le Ministère public. Elle précise que le précité soutenait avoir tout ignoré de l'escroquerie et des menaces proférées à l'égard de la victime. Le juge a retenu que les charges étaient suffisantes, le recourant ayant reconnu s'être rendu les 11 et 18 février 2023 à l'adresse de la victime, et devoir être payé EUR 1'000.- pour fonctionner comme chauffeur. Cette motivation est suffisante pour permettre au recourant de comprendre que son argumentation – soit que son rôle se serait limité à celui de chauffeur –, n'a pas été retenue par le juge de la détention, le fait d'être rémunéré pour se rendre deux fois à l'adresse de la victime en compagnie de son comparse étant à ce stade suffisant à l'impliquer dans l'escroquerie reprochée. Le TMC a également expliqué que deux mois ne seraient pas suffisants pour accomplir les actes d'instruction nécessaires. Le grief est dès lors infondé, le droit d'être entendu du recourant n'ayant pas été violé.</w:t>
      </w:r>
    </w:p>
    <w:p>
      <w:r>
        <w:rPr>
          <w:b/>
        </w:rPr>
        <w:t>E. 3</w:t>
      </w:r>
    </w:p>
    <w:p>
      <w:r>
        <w:t>Le recourant, qui fonde son recours uniquement – comme il le rappelle dans sa réplique – sur la violation alléguée de son droit d'être entendu, ne conteste ni les charges, ni les risques (de fuite et collusion) retenus, de sorte qu'il n'y a pas à s'y attarder, mais à renvoyer, en tant que de besoin, à la motivation adoptée par le premier juge (art 82 al. 4 CPP; ACPR/747/2020 du 22 octobre 2020 consid. 2 et les références), étant relevé que l'ordonnance querellée expose les indices graves pesant sur le prévenu, les besoins de l'instruction et les risques justifiant la mise en détention provisoire.![endif]&gt;![if&gt;</w:t>
      </w:r>
    </w:p>
    <w:p>
      <w:r>
        <w:rPr>
          <w:b/>
        </w:rPr>
        <w:t>E. 4</w:t>
      </w:r>
    </w:p>
    <w:p>
      <w:r>
        <w:t>Aucune mesure de substitution (art. 237 al. 1 CPP) ne paraît apte, à ce stade, à pallier les risques retenus, et le recourant n'en propose d'ailleurs aucune.![endif]&gt;![if&gt;</w:t>
      </w:r>
    </w:p>
    <w:p>
      <w:r>
        <w:rPr>
          <w:b/>
        </w:rPr>
        <w:t>E. 5</w:t>
      </w:r>
    </w:p>
    <w:p>
      <w:r>
        <w:t>La durée de la détention provisoire, pour trois mois, respecte le principe de la proportionnalité (art. 197 al. 1 et 212 al. 3 CPP), compte tenu de la peine menace et concrètement encourue, si les infractions reprochées devaient se concrétiser.![endif]&gt;![if&gt;</w:t>
      </w:r>
    </w:p>
    <w:p>
      <w:r>
        <w:rPr>
          <w:b/>
        </w:rPr>
        <w:t>E. 6</w:t>
      </w:r>
    </w:p>
    <w:p>
      <w:r>
        <w:t>Le recours s'avère ainsi infondé et doit être rejeté.![endif]&gt;![if&gt;</w:t>
      </w:r>
    </w:p>
    <w:p>
      <w:r>
        <w:rPr>
          <w:b/>
        </w:rPr>
        <w:t>E. 7</w:t>
      </w:r>
    </w:p>
    <w:p>
      <w:r>
        <w:t>Le recourant, qui succombe, supportera les frais envers l'État, arrêtés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8</w:t>
      </w:r>
    </w:p>
    <w:p>
      <w:r>
        <w:t>Le recourant plaide au bénéfice d'une défense d'office.![endif]&gt;![if&gt;</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(arrêts du Tribunal fédéral 1B_648/2022 du 19 janvier 2023 et 1B_516/2020 du 3 novembre 2020 consid. 5.1).![endif]&gt;![if&gt;</w:t>
      </w:r>
    </w:p>
    <w:p>
      <w:r>
        <w:rPr>
          <w:b/>
        </w:rPr>
        <w:t>E. 8.2</w:t>
      </w:r>
    </w:p>
    <w:p>
      <w:r>
        <w:t>En l'occurrence, le grief de défaut de motivation de la décision attaquée était manifestement infondé et le recours n'avait, ainsi, aucune chance de succès. Il s'ensuit que les conditions d'une défense d'office devant l'autorité de recours ne sont pas réunies. Aucune indemnisation ne sera ainsi allouée à ce titre à l'avocat du recourant.![endif]&gt;![if&gt;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