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P/3418/2015 vom 21. April 2015</w:t>
      </w:r>
    </w:p>
    <w:p>
      <w:r>
        <w:t>GE Cour de justice, 2015-04-21, FR</w:t>
      </w:r>
    </w:p>
    <w:p>
      <w:r>
        <w:rPr>
          <w:b/>
        </w:rPr>
        <w:t xml:space="preserve">Quelle: </w:t>
      </w:r>
      <w:r>
        <w:t>https://mcp.opencaselaw.ch/entscheid/ge_gerichte_P_3418_2015</w:t>
      </w:r>
    </w:p>
    <w:p>
      <w:r>
        <w:t>FR: GE_GERICHTE P/3418/2015 du 21 avril 2015</w:t>
      </w:r>
    </w:p>
    <w:p>
      <w:r>
        <w:t>IT: GE_GERICHTE P/3418/2015 del 21 aprile 2015</w:t>
      </w:r>
    </w:p>
    <w:p>
      <w:pPr>
        <w:pStyle w:val="Heading2"/>
      </w:pPr>
      <w:r>
        <w:t>Regeste</w:t>
      </w:r>
    </w:p>
    <w:p>
      <w:r>
        <w:t>RÉVISION(DÉCISION) ; MOTIF DE RÉVISION | CPP.429; CPP.430; CPP.410</w:t>
      </w:r>
    </w:p>
    <w:p>
      <w:pPr>
        <w:pStyle w:val="Heading2"/>
      </w:pPr>
      <w:r>
        <w:t>Erwägungen</w:t>
      </w:r>
    </w:p>
    <w:p>
      <w:r>
        <w:rPr>
          <w:b/>
        </w:rPr>
        <w:t>E. 1</w:t>
      </w:r>
    </w:p>
    <w:p>
      <w:r>
        <w:t>La demande de révision a été formée devant l’autorité compétente, selon la forme prévue par la loi et n'est soumise à aucun délai particulier, sauf dans les cas visés à l'art. 410 al. 1 let. b et al. 2 du Code de procédure pénale du 5 octobre 2007 [CPP ; RS 312.0]), qui n'entrent pas en ligne de compte en l'occurrence (art. 411 al. 1 et 2 dernière phrase CPP).</w:t>
      </w:r>
    </w:p>
    <w:p>
      <w:r>
        <w:rPr>
          <w:b/>
        </w:rPr>
        <w:t>E. 2</w:t>
      </w:r>
    </w:p>
    <w:p>
      <w:r>
        <w:t>2.1. La demande en révision est fondée sur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w:t>
      </w:r>
    </w:p>
    <w:p>
      <w:r>
        <w:rPr>
          <w:b/>
        </w:rPr>
        <w:t>E. 2.2</w:t>
      </w:r>
    </w:p>
    <w:p>
      <w:r>
        <w:t>En l'espèce, le SDC reconnaît avoir confondu le requérant avec un homonyme, de sorte que le premier n'était pas la personne concernée par la contravention entreprise N° 2819416 du 17 décembre 2014. Ces circonstances constituent des faits nouveaux, ignorés du SDC lors du prononcé de l’ordonnance pénale litigieuse, qui sont de nature à conduire à l'annulation de cette décision, de sorte que la demande de révision doit être admise.</w:t>
      </w:r>
    </w:p>
    <w:p>
      <w:r>
        <w:rPr>
          <w:b/>
        </w:rPr>
        <w:t>E. 3</w:t>
      </w:r>
    </w:p>
    <w:p>
      <w:r>
        <w:t>3.1.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w:t>
      </w:r>
    </w:p>
    <w:p>
      <w:r>
        <w:rPr>
          <w:b/>
        </w:rPr>
        <w:t>E. 3.2</w:t>
      </w:r>
    </w:p>
    <w:p>
      <w:r>
        <w:t>Vu l'admission de la demande, l'ordonnance pénale du SDC du 17 décembre 2014 sera annulée.</w:t>
      </w:r>
    </w:p>
    <w:p>
      <w:r>
        <w:rPr>
          <w:b/>
        </w:rPr>
        <w:t>E. 4</w:t>
      </w:r>
    </w:p>
    <w:p>
      <w:r>
        <w:t>4.1. Selon l'art. 429 CPP, applicable aux voies de recours en vertu de l'art. 436 al. 1 CPP, le prévenu qui est partiellement acquitté peut prétendre à une indemnité pour les dépenses occasionnées par l'exercice raisonnable de ses droits de procédure (let. a.). Aux termes de l'article 430 al. 1 let. a CPP, l'autorité pénale peut refuser l'indemnité à laquelle le prévenu a droit lorsque ce dernier rend plus difficile la conduite de la procédure.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(arrêt du Tribunal fédéral 6B_300/2012 du 10 juin 2013 consid. 2.4). 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(ATF 119 Ia 332 consid. 1b p. 334 ; ATF 116 Ia 162 consid. 2c p. 168).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 et les références citées).</w:t>
      </w:r>
    </w:p>
    <w:p>
      <w:r>
        <w:rPr>
          <w:b/>
        </w:rPr>
        <w:t>E. 4.2</w:t>
      </w:r>
    </w:p>
    <w:p>
      <w:r>
        <w:t>Le requérant bénéficiant en révision d'un acquittement, il se justifie d'entrer en matière sur sa demande d'indemnisation relative à ses frais d'avocat. Contrairement à ce qu'il prétend, la nature de l'affaire n'appelait pas l'assistance d'un conseil, puisse-t-il comme il le prétend avoir des difficultés en langue française. Elle n'était, à tout le moins jusqu'au dépôt de la demande de révision, pas d'une complexité particulière (art. 429 al. 1 let. a a contrario ). Il ne fait par ailleurs pas de doute que par son comportement, le requérant a de manière fautive rendu plus difficile la conduite de la procédure. Il n'a dans un premier temps pas pris la peine de lire dans son intégralité l'ordonnance querellée qui pourtant mentionnait déjà qu'elle concernait à la base un véhicule d'une société avec laquelle il savait pertinemment ne pas avoir de lien. Au préalable, il n'avait pas davantage réagi à un courrier du SDC du 10 décembre 2013, soit une année plus tôt, le mettant en demeure de communiquer l'identité complète de l'auteur de l'infraction commise le 30 mars 2012 avec un véhicule immatriculé au nom de cette même société. Il n'a ensuite pas davantage, bien que dûment assisté d'un conseil, indiqué dans son opposition, fût-elle tardive, les motifs de ladite opposition, qui auraient alors permis au SDC de faire les recherches effectivement intervenues au stade de la procédure de révision. Pour ces motifs, l'indemnisation lui sera refusée.</w:t>
      </w:r>
    </w:p>
    <w:p>
      <w:r>
        <w:rPr>
          <w:b/>
        </w:rPr>
        <w:t>E. 5</w:t>
      </w:r>
    </w:p>
    <w:p>
      <w:r>
        <w:t>Vu l’issue de la procédure de révision, les frais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