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P/340/2016 vom 7. Dezember 2016</w:t>
      </w:r>
    </w:p>
    <w:p>
      <w:r>
        <w:t>GE Cour de justice, 2016-12-07, FR</w:t>
      </w:r>
    </w:p>
    <w:p>
      <w:r>
        <w:rPr>
          <w:b/>
        </w:rPr>
        <w:t xml:space="preserve">Quelle: </w:t>
      </w:r>
      <w:r>
        <w:t>https://mcp.opencaselaw.ch/entscheid/ge_gerichte_P_340_2016</w:t>
      </w:r>
    </w:p>
    <w:p>
      <w:r>
        <w:t>FR: GE_GERICHTE P/340/2016 du 7 décembre 2016</w:t>
      </w:r>
    </w:p>
    <w:p>
      <w:r>
        <w:t>IT: GE_GERICHTE P/340/2016 del 7 dicembre 2016</w:t>
      </w:r>
    </w:p>
    <w:p>
      <w:pPr>
        <w:pStyle w:val="Heading2"/>
      </w:pPr>
      <w:r>
        <w:t>Regeste</w:t>
      </w:r>
    </w:p>
    <w:p>
      <w:r>
        <w:t>DISPOSITIONS PÉNALES DE LA LSTUP ; FIXATION DE LA PEINE ; ÉGALITÉ DE TRAITEMENT ; CONCOURS D'INFRACTIONS ; ANTÉCÉDENT | LStup19.2; CP47; CP49.1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 juge pourra atténuer la peine en raison de l'aveu ou de la bonne coopération de l'auteur de l'infraction avec les autorités policières ou judiciaires (ATF 121 IV 202 consid. 2d/aa p. 204 ; 118 IV 342 consid. 2d p. 349). 2.1.2.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2.1.3.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123 IV 150 consid. 2a p. 152 s. ; arrêts du Tribunal fédéral 6B_794/2015 du 15 août 2016 consid. 1.1 et 6B_334/2009 du 20 juillet 2009 consid. 2.3.1). 2.1.4. D'après l'art. 49 al. 1 CP, si, en raison d'un ou de plusieurs actes, l'auteur remplit les conditions de plusieurs peines de même genre, le juge le condamne à la peine de l'infraction la plus grave et l'augmente dans une juste proportion. 2.1.5.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2.2</w:t>
      </w:r>
    </w:p>
    <w:p>
      <w:r>
        <w:t>La faute de l'appelant est importante dans la mesure où il a organisé l'importation en Suisse d'environ 300 gr. nets de cocaïne en vue de l'écouler ensuite sur le marché local à son profit personnel. Pour ce faire, il a fait appel à l'une de ses connaissances pour qu'elle se rende d'Italie en Espagne afin de lui servir de mule, sans toutefois l'avertir de la nature du travail qu'il entendait ainsi lui confier. Si l'on peut concéder à l'appelant qu'au vu des précautions prises, C_____ devait se douter que l'activité proposée aurait quelque chose d'illégal, on ne saurait pour autant retenir qu'elle devait s'attendre à transporter une drogue dite dure, encore moins en l'ingérant. Il a ainsi bien profité de la situation précaire de la jeune femme, avec laquelle il avait "flirté" et dont il savait qu'elle venait de perdre son emploi, laquelle s'est effectivement retrouvée piégée en Espagne et s'est ainsi résignée à procéder au transport de cocaïne, faute de quoi son billet de retour en Italie ne lui aurait pas été payé et celui de l'aller vraisemblablement pas remboursé. La mise sur pied d'une telle opération excède clairement l'activité d'une personne qui ne joue qu'un rôle secondaire dans un trafic ou d'un simple revendeur de rue et s'inscrit davantage dans celle d'un semi-grossiste. Cela est d'ailleurs corroboré par le fait que, lors de son interpellation, l'appelant transportait notamment deux doigts ou ovules de cocaïne d'environ 10 gr. chacun qu'il s'apprêtait à vendre, les dires de l'intéressé n'étant pas crédibles lorsqu'il prétend qu'il entendait se rendre à Lausanne sans toutefois savoir où, ni à qui et à quel prix il comptait les remettre. A cela s'ajoute encore le fait qu'une importante partie de la drogue livrée par la mule, soit une centaine de grammes, n'a pas été retrouvée, ce qui tend à démontrer que l'appelant est parvenu à la vendre en quelques heures, à moins qu'il disposât encore d'un autre endroit sécurisé pour la dissimuler, l'explication selon laquelle cette cocaïne aurait été laissée dans une poubelle du Foyer des Tattes apparaissant des plus fantaisiste. L'appelant a agi de manière organisée, se rendant lui-même à Barcelone pour s'assurer de l'arrivée de la mule et disposant d'un logement pour l'accueillir, tout en prenant diverses précautions pour limiter les risques encourus, un tiers veillant à ce que la drogue soit bien ingérée par la mule, de surcroît dans un autre appartement, et lui-même prenant en charge cette dernière à son arrivée à Genève, mais en dehors de l'aéroport, afin de l'emmener chez une tierce personne pour qu'elle y expulse la cocaïne. S'il est vrai que l'appelant a aussi transporté une infime partie de celle-ci dans son corps, c'était sur un trajet bien plus court et avec la possibilité de l'expulser immédiatement en cas de suspicion d'un problème quelconque, étant relevé, s'agissant de trois boulettes ingérées, qu'il a pu les détenir simplement dans sa bouche et les avaler au moment de son interpellation, comme le font fréquemment les vendeurs au détail. Son mobile est égoïste, puisqu'il a agi par appât du gain facile et au mépris de la santé d'autrui, soit tant de la mule que des consommateurs. Sa collaboration à l'enquête s'est révélée plutôt mauvaise dans la mesure où il a nié dans un premier temps toute implication dans un trafic de drogue, sauf s'agissant de celle dont il était porteur, et n'a finalement reconnu l'essentiel des faits qu'à la suite de la mise en cause précise et circonstanciée de la mule, ne pouvant au demeurant ignorer que la provenance commune de la cocaïne serait établie par les liens chimiques existant entre celle que cette dernière, respectivement, lui-même détenaient. En sus de ce qui a déjà été relevé, l'appelant ne saurait être suivi lorsqu'il soutient avoir acquis une aussi importante quantité de cocaïne à crédit, de surcroît auprès d'une personne qu'il ne connaissait pas et résidant à l'étranger, sauf à admettre, bien au contraire, que cet achat s'inscrivait dans une relation de longue durée impliquant une confiance particulièrement élevée. Ses dires ne sont pas non plus crédibles lorsqu'il prétend que la mule devait être rémunérée par un tiers. Sa prise de conscience quant à la gravité de son comportement n'est que très partielle, puisqu'il s'efforce toujours de minimiser son rôle, n'hésitant pas à soutenir qu'il ne serait guère différent de celui d'une mule. La situation personnelle de l'appelant est certes difficile, mais ne justifie toutefois en rien les actes commis. S'il a déclaré vouloir être un père exemplaire, force est de constater que ses agissements illicites sont intervenus précisément au moment où sa compagne s'apprêtait à donner naissance à leur enfant. L'appelant a deux antécédents spécifiques, certes manifestement pour des faits de bien moindre gravité, mais qui dénotent qu'il n'a pas su tenir compte des avertissements donnés, tout d'abord par l'octroi d'un sursis, puis par le prononcé d'une peine privative de liberté ferme, mais d'assez courte durée qui, même si elle n'avait pas encore été exécutée, ne l'a aucunement dissuadé de récidiver. Aucune circonstance atténuante n'est réalisée ni, à juste titre, plaidée et il y a concours d'infractions au sens de l'art. 49 al. 1 CP, ce qui justifie une augmentation de la peine, mais dans une proportion modérée, la violation de la LStup étant en l'espèce autrement plus grave que celle de la LEtr. Compte tenu de l'ensemble de ces éléments, la peine de trois ans et dont plus de la moitié est assortie du sursis apparaît appropriée, car adaptée à la culpabilité de l'appelant et sera, partant, confirmée, sans qu'il y ait lieu de faire des comparaisons hasardeuses avec d'autres cas, si ce n'est éventuellement pour relever qu'il n'est pas rare que de simples mules soient condamnées à des peines similaires, selon la quantité de drogue transportée ou le nombre de voyages effectués ou encore l'existence d'antécédents en la matière.</w:t>
      </w:r>
    </w:p>
    <w:p>
      <w:r>
        <w:rPr>
          <w:b/>
        </w:rPr>
        <w:t>E. 3</w:t>
      </w:r>
    </w:p>
    <w:p>
      <w:r>
        <w:t>Les motifs ayant conduit les premiers juges à prononcer, par ordonnance séparée du 27 juin 2016, le maintien de l'appelant en détention pour des motifs de sûreté sont toujours d'actualité, ce que celui-ci ne conteste au demeurant pas, de sorte que la mesure sera reconduite mutatis mutandis (ATF 139 IV 277 consid. 2.2 à 2.3).</w:t>
      </w:r>
    </w:p>
    <w:p>
      <w:r>
        <w:rPr>
          <w:b/>
        </w:rPr>
        <w:t>E. 4</w:t>
      </w:r>
    </w:p>
    <w:p>
      <w:r>
        <w:t>L'appelant, qui succombe, supportera les frais de la procédure envers l'État (art. 428 CPP).</w:t>
      </w:r>
    </w:p>
    <w:p>
      <w:r>
        <w:rPr>
          <w:b/>
        </w:rPr>
        <w:t>E. 5</w:t>
      </w:r>
    </w:p>
    <w:p>
      <w:r>
        <w:t>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5.1.3. À teneur de la jurisprudence, est décisif pour fixer la rémunération de l'avocat, le nombre d'heures nécessaires pour assurer la défense d'office du prévenu. A cet égard,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ainsi que de la responsabilité assumée (ATF 139 IV 261 consid. 2 p. 261 ss ; arrêt du Tribunal fédéral 6B_810/2010 du 25 mai 2011 consid. 2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w:t>
      </w:r>
    </w:p>
    <w:p>
      <w:r>
        <w:rPr>
          <w:b/>
        </w:rPr>
        <w:t>E. 5.2</w:t>
      </w:r>
    </w:p>
    <w:p>
      <w:r>
        <w:t>L'état de frais produit par le défenseur d'office de l'appelant, considéré dans sa globalité, parait adéquat et conforme aux principes applicables en la matière, de sorte qu'il n'est pas nécessaire de reprendre le détail des postes qui le composent. L'indemnité due à M e B_____ sera ainsi fixée à CHF 1'920.-, correspondant à 8 heures d'activité au tarif de CHF 200.-/heure, plus la majoration forfaitaire de 20 % (CHF 320.-), mais sans TVA, l'intéressée n'y étant apparemment pas assujettie.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