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P/3408/2013 vom 13. August 2013</w:t>
      </w:r>
    </w:p>
    <w:p>
      <w:r>
        <w:t>GE Cour de justice, 2013-08-13, FR</w:t>
      </w:r>
    </w:p>
    <w:p>
      <w:r>
        <w:rPr>
          <w:b/>
        </w:rPr>
        <w:t xml:space="preserve">Quelle: </w:t>
      </w:r>
      <w:r>
        <w:t>https://mcp.opencaselaw.ch/entscheid/ge_gerichte_P_3408_2013</w:t>
      </w:r>
    </w:p>
    <w:p>
      <w:r>
        <w:t>FR: GE_GERICHTE P/3408/2013 du 13 août 2013</w:t>
      </w:r>
    </w:p>
    <w:p>
      <w:r>
        <w:t>IT: GE_GERICHTE P/3408/2013 del 13 agosto 2013</w:t>
      </w:r>
    </w:p>
    <w:p>
      <w:pPr>
        <w:pStyle w:val="Heading2"/>
      </w:pPr>
      <w:r>
        <w:t>Regeste</w:t>
      </w:r>
    </w:p>
    <w:p>
      <w:r>
        <w:t>DISPOSITIONS PÉNALES DE LA LSTUP; STUPÉFIANT; RECEL | CP.160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l'occurrence, nonobstant la contradiction entre les conclusions prises dans le mémoire d'appel et le développement consacré au chapitre sur la peine, on comprend que l'appelant conteste en tout état la quotité de celle-ci de sorte qu'il conviendra d'examiner cette question, indépendamment de celle de la culpabilité du chef de recel.</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160 CP sanctionne celui qui, notamment, aura acquis une chose dont il savait où devait présumer qu'un tiers l'avait obtenue au moyen d'une infraction contre le patrimoine. 2.2.2 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2e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2.3</w:t>
      </w:r>
    </w:p>
    <w:p>
      <w:r>
        <w:t>En l'occurrence, l'appelant n'est pas crédible lorsqu'il affirme ne pas avoir envisagé que l'ordinateur litigieux pouvait provenir d'un vol. Il a en effet acquis cet objet dans la rue, pour un prix dérisoire et à un parfait inconnu, dont il reconnaît que la seule chose qu’il savait à son sujet est qu'il était consommateur de cocaïne et avait besoin de liquidités. Ces circonstances devaient à tout le moins créer un fort soupçon, si ce n'est une certitude, qu’il s’agissait d’un appareil de provenance délictueuse. Selon l’appelant, l'homme aurait envisagé de lui racheter l'appareil après quelques jours, ce qui est totalement invraisemblable dès lors qu’ils n'avaient pas le moyen de se retrouver. Ce n'est qu'à l'audience de jugement que l'appelant a affirmé s'être renseigné sur la provenance de l'appareil. Précédemment, il avait uniquement dit s'être préoccupé de la question de savoir s'il y avait un code de verrouillage, ce qui, au demeurant, est une indication qu’il avait des doutes sur la provenance de l’objet dès lors qu’un particulier procédant à la vente de son bien le déverrouillerait nécessairement. Le fait que l'appelant se soit branché sur le réseau Internet lors du démarrage n'est pas déterminant, celui-ci ayant fort bien pu ignorer qu'il courait ce faisant le risque de se faire repérer. Au regard de ces circonstances, c'est à juste titre que le premier juge a retenu que l'appelant devait au moins envisager la provenance illicite de l'appareil. L'appel sera rejeté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Certes, l'appelant a reconnu une partie des faits reprochés dès son arrestation. Il ne pouvait toutefois guère faire autrement, ayant été trouvé en possession de la drogue et sa présence en Suisse, démuni de papiers d'identité, depuis sa dernière sortie de prison étant difficilement contestable. Par ailleurs, il persiste à nier l'infraction de recel. Dans ces circonstances, sa collaboration ne saurait être qualifiée de particulièrement bonne. Pour le surplus, la peine infligée est adéquate au regard de la faute, étant rappelé que l'appelant, multirécidiviste, persiste à séjourner dans notre pays et à contrevenir à la LStup, faisant ainsi preuve de son mépris pour la santé des consommateurs et les règles en vigueur. En commettant un recel, il a franchi un pas supplémentaire, s'en prenant désormais également à la propriété d'autrui. La peine infligée pourrait même être qualifiée de clémente au vu de ces circonstances. L'appel doit donc être rejeté sur ce point également.</w:t>
      </w:r>
    </w:p>
    <w:p>
      <w:r>
        <w:rPr>
          <w:b/>
        </w:rPr>
        <w:t>E. 4</w:t>
      </w:r>
    </w:p>
    <w:p>
      <w:r>
        <w:t>L'appelant, qui succombe, supportera les frais de la procédure envers l'État, comprenant un émolument de CHF 1’200.– (art. 428 CPP et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