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P/3401/2020 vom 12. April 2023</w:t>
      </w:r>
    </w:p>
    <w:p>
      <w:r>
        <w:t>GE Cour de justice, 2023-04-12, FR</w:t>
      </w:r>
    </w:p>
    <w:p>
      <w:r>
        <w:rPr>
          <w:b/>
        </w:rPr>
        <w:t xml:space="preserve">Quelle: </w:t>
      </w:r>
      <w:r>
        <w:t>https://mcp.opencaselaw.ch/entscheid/ge_gerichte_P_3401_2020</w:t>
      </w:r>
    </w:p>
    <w:p>
      <w:r>
        <w:t>FR: GE_GERICHTE P/3401/2020 du 12 avril 2023</w:t>
      </w:r>
    </w:p>
    <w:p>
      <w:r>
        <w:t>IT: GE_GERICHTE P/3401/2020 del 12 aprile 2023</w:t>
      </w:r>
    </w:p>
    <w:p>
      <w:pPr>
        <w:pStyle w:val="Heading2"/>
      </w:pPr>
      <w:r>
        <w:t>Regeste</w:t>
      </w:r>
    </w:p>
    <w:p>
      <w:r>
        <w:t>DÉCISION D'IRRECEVABILITÉ | CPP.399.al3; CPP.136.al2.letb</w:t>
      </w:r>
    </w:p>
    <w:p>
      <w:pPr>
        <w:pStyle w:val="Heading2"/>
      </w:pPr>
      <w:r>
        <w:t>Erwägungen</w:t>
      </w:r>
    </w:p>
    <w:p>
      <w:r>
        <w:rPr>
          <w:b/>
        </w:rPr>
        <w:t>E. 1</w:t>
      </w:r>
    </w:p>
    <w:p>
      <w:r>
        <w:t>1.1.1. Peuvent faire l'objet d'un appel, les jugements des tribunaux de première instance qui ont clos tout ou partie de la procédure (art. 398 al. 1 du Code de procédure pénale [CPP]). 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 1.1.2. La juridiction d'appel statue, après avoir entendu les parties, sur la recevabilité de l'appel lorsque la direction de la procédure ou une partie fait valoir (art. 403 al. 1 let. a et al. 2 CPP) que l'annonce ou la déclaration d'appel est tardive ou irrecevable. Lorsque l'annonce ou la déclaration d'appel est manifestement tardive, la juridiction d'appel peut renoncer à donner aux parties l'occasion de se prononcer (PETIT COMMENTAIRE (PC), CODE DE PROCEDURE PENALE (CPP), 2016, ad art. 403 CPP, n° 18a et la référence citée).</w:t>
      </w:r>
    </w:p>
    <w:p>
      <w:r>
        <w:rPr>
          <w:b/>
        </w:rPr>
        <w:t>E. 1.2</w:t>
      </w:r>
    </w:p>
    <w:p>
      <w:r>
        <w:t>En l'espèce, l'appel est irrecevable dès lors que le courrier annonçant celui-ci n'a pas été suivi d'une déclaration d'appel dans le délai légal de 20 jours suivant la notification du jugement motivé (cf. arrêt du Tribunal fédéral 6B_458/2013 du 4 novembre 2013).</w:t>
      </w:r>
    </w:p>
    <w:p>
      <w:r>
        <w:rPr>
          <w:b/>
        </w:rPr>
        <w:t>E. 2.1</w:t>
      </w:r>
    </w:p>
    <w:p>
      <w:r>
        <w:t>M e C______, défenseur d'office de B______, produit un état de frais comprenant deux consultations avec le client de 50 et 35 minutes. L'état de frais produit par M e C______ satisfait les exigences légales et jurisprudentielles régissant l'assistance judiciaire en matière pénale. L'indemnisation du défenseur d'office sera ainsi arrêtée à CHF 335.70, correspondant à 1h25 au tarif de chef d'Etude (CHF 200.-/heure), plus la majoration forfaitaire de 10% (activité déployée excédant 30 heures [CHF 28.35]) et la TVA au taux de 7.7% (CHF 24.-).</w:t>
      </w:r>
    </w:p>
    <w:p>
      <w:r>
        <w:rPr>
          <w:b/>
        </w:rPr>
        <w:t>E. 2.2</w:t>
      </w:r>
    </w:p>
    <w:p>
      <w:r>
        <w:t>La partie plaignante mise au bénéfice de l'assistance judiciaire gratuite est exonérée des frais de procédure (art. 136 al. 2 let. b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