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P/3350/2012 vom 27. November 2012</w:t>
      </w:r>
    </w:p>
    <w:p>
      <w:r>
        <w:t>GE Cour de justice, 2012-11-27, FR</w:t>
      </w:r>
    </w:p>
    <w:p>
      <w:r>
        <w:rPr>
          <w:b/>
        </w:rPr>
        <w:t xml:space="preserve">Quelle: </w:t>
      </w:r>
      <w:r>
        <w:t>https://mcp.opencaselaw.ch/entscheid/ge_gerichte_P_3350_2012</w:t>
      </w:r>
    </w:p>
    <w:p>
      <w:r>
        <w:t>FR: GE_GERICHTE P/3350/2012 du 27 novembre 2012</w:t>
      </w:r>
    </w:p>
    <w:p>
      <w:r>
        <w:t>IT: GE_GERICHTE P/3350/2012 del 27 novembre 2012</w:t>
      </w:r>
    </w:p>
    <w:p>
      <w:pPr>
        <w:pStyle w:val="Heading2"/>
      </w:pPr>
      <w:r>
        <w:t>Regeste</w:t>
      </w:r>
    </w:p>
    <w:p>
      <w:r>
        <w:t>; CONTRAVENTION ; OPPOSITION(PROCÉDURE) ; CONDITION DE RECEVABILITÉ ; DÉLAI ; RETARD ; PRINCIPE DE LA BONNE FOI ; LÉGALITÉ ; FORMALISME EXCESSIF | CPP.354; CPP.3; CST.9; CST.29</w:t>
      </w:r>
    </w:p>
    <w:p>
      <w:pPr>
        <w:pStyle w:val="Heading2"/>
      </w:pPr>
      <w:r>
        <w:t>Erwägungen</w:t>
      </w:r>
    </w:p>
    <w:p>
      <w:r>
        <w:rPr>
          <w:b/>
        </w:rPr>
        <w:t>E. 1</w:t>
      </w:r>
    </w:p>
    <w:p>
      <w:r>
        <w:t>Le recours a été déposé dans le délai et la forme prescrits (art. 396 al. 1, 390 al. 1, 385 al. 1 et 90 al. 2 CPP), émane de l'accusé, qui a un intérêt juridiquement protégé à l'annulation ou la modification de la décision querellée (art. 382 al. 1, 104 al. 1 let. a et 111 al. 1 CPP) et est formé pour violation du droit, comme la loi l'y autorise (art. 393 al. 2 let. a CPP). Il concerne une décision du Tribunal de police sujette à recours auprès de la Chambre de céans (art. 20 al. 1 let. b et 393 al. 1 let. b CPP; art. 128 al. 1 let. a et al. 2 let. a LOJ), la doctrine admettant qu'une décision par laquelle le tribunal de première instance déclare non valable une opposition à ordonnance pénale et n'entre pas en matière est attaquable par cette voie (N. SCHMID, Schweizerische Strafprozessordnung : Praxiskommentar , Zurich 2009, n. 3 ad art. 356 ; M. NIGGLI / M. HEER / H. WIPRÄCHTIGER, Schweizerische Strafprozessordnung / Schweizerische Jugendstrafprozessordnung , Basler Kommentar StPO/JStPO, Bâle 2011, n. 2 ad art. 356 ; Y. JEANNERET, Les procédures spéciales dans le Code de procédure pénale suisse , in R. PFISTER-LIECHTI (éd.), La procédure pénale fédérale, Fondation pour la formation continue des juges suisses, Berne 2010, p. 159).</w:t>
      </w:r>
    </w:p>
    <w:p>
      <w:r>
        <w:rPr>
          <w:b/>
        </w:rPr>
        <w:t>E. 2</w:t>
      </w:r>
    </w:p>
    <w:p>
      <w:r>
        <w:t>.3. En l'occurrence, à teneur des déclarations du recourant devant le Tribunal de police, celui-ci a retiré l'ordonnance pénale à la poste, soit nécessairement durant le délai de garde. Par ailleurs, la première manifestation pouvant être assimilée à une possible contestation du recourant, et figurant au dossier, est une lettre d'Assista du 16 septembre 2011. Or, en reprenant la computation du délai selon la pratique du Service des contraventions lui-même, qui est la plus favorable au recourant, il fallait compter 2 jours pour l'envoi d'un pli recommandé et 7 jours pour le délai de garde, ce qui permet de retenir que le pli en cause a été retiré au plus tard le 30 août 2011. Par conséquent, l'échéance du délai pour former opposition tombait, ex lege, le vendredi 9 septembre 2011 et, selon les délais supplémentaires accordés par le Service des contraventions, contra legem et sans compétence ad hoc, dont il semble s'être heureusement affranchi depuis lors, était reportée au 12 septembre 2011. Il s'ensuit que, d'une part, l'opposition écrite adressée par courrier du 1 er novembre 2011 était manifestement irrecevable, et que, d'autre part, la première trace de contestation, si tant est que cela en fût une, adressée par Assista le 16 septembre 2011, était elle aussi en dehors du délai supplémentaire accordé par le Service des contraventions. Par conséquent, de quelque point de vue que l'on se situe, l'opposition du recourant était tardive et la décision querellée doit être maintenue.</w:t>
      </w:r>
    </w:p>
    <w:p>
      <w:r>
        <w:rPr>
          <w:b/>
        </w:rPr>
        <w:t>E. 2.2</w:t>
      </w:r>
    </w:p>
    <w:p>
      <w:r>
        <w:t>supra, art. 354 al. 1 CPP - doit déposer un mémoire de recours. Cette vérité, frappée de bon sens, n'est autre que le texte de l'alinéa 1 de l'art. 390 CPP, qui semble avoir échappé à la lecture du conseil du recourant. La doctrine dit à son propos que " La contestation portée en instance de recours a besoin d'un support matériel : c'est le mémoire de recours " (A. KUHN / Y. JEANNERET (éds), Code de procédure pénale suisse , Bâle 2011, n° 1, ad art. 390 CPP), ce qui démontre bien que la thèse soutenue par le recourant est inepte.</w:t>
      </w:r>
    </w:p>
    <w:p>
      <w:r>
        <w:rPr>
          <w:b/>
        </w:rPr>
        <w:t>E. 3</w:t>
      </w:r>
    </w:p>
    <w:p>
      <w:r>
        <w:t>.1.1. L'art. 3 CPP garantit les principes du respect de la dignité et du procès équitable. Il prévoit notamment que les autorités pénales se conforment au principe de la bonne foi et de l'interdiction de l'abus de droit (al. 2 let. a et b). Selon le principe constitutionnel garanti à l'art. 5 al. 3 Cst., toute autorité doit s'abstenir de procédés déloyaux et de comportements contradictoires (ATF 136 I 254 consid. 5.2 p. 261 et les arrêts cités). 3.1.2.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p. 170; 122 II 113 consid. 3b/cc p. 123 et les références citées).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(cf. art. 5 et 9 Cst.; ATF 118 Ib 312 consid. 3b p. 316). Au demeurant, comme le droit fiscal cité par la jurisprudence ci-dessus, le droit pénal est dominé par le principe de la légalité (cf. art. 1 CP). Le principe de la bonne foi ne saurait dès lors avoir qu'une influence limitée, surtout s'il vient à entrer en conflit avec celui-là (ATF 131 II 627 consid. 6.1 p. 636 s. et les références; ATF non publié 6B_599/2010 , du 26 août 2010). 3.1.3. Le droit à la protection de la bonne foi permet au citoyen d'exiger que l'autorité respecte ses promesses et qu'elle évite de se contredire. Ainsi un renseignement ou une décision erronée peuvent, à certaines conditions, obliger l'administration à consentir à un administré un avantage contraire à la loi (ATF 127 I 36 consid. 3a, 121 V 66 consid. 2a et les références citées). 3.1.4. Le recourant ne peut toutefois rien déduire en sa faveur de ce principe en l'espèce, car, selon la jurisprudence, la protection de la bonne foi de l'administré suppose que ce dernier n'ait pas été en mesure, même en faisant preuve de l'attention que l'on pouvait exiger de lui, de reconnaître l'erreur de l'administration (cf. ATF 121 II 473 consid. 2c p. 479; 118 Ia 245 consid. 4b p. 254, et les références). Or, la simple vérification des conditions légales en jeu par le conseil du recourant, fût-il une assurance protection juridique, ne pouvait lui laisser imaginer qu'il pourrait obtenir d'une entité étatique n'ayant pas la compétence de proroger des délais légaux, ce qui est, pour le moins, rare, qu'il accepte une opposition formée bien après le délai péremptoire de l'art. 354 al. 1 let. a CPP, et même après le délai à bien plaire qu'il invoque. Le recourant ne saurait donc tirer avantage d'une pratique qu'il devait savoir être née d'une application erronée de la loi. 3.2.1.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p. 9; 132 I 249 consid. 5 p. 253; 130 V 177 consid. 5.4.1 p. 183; 128 II 139 consid. 2a p. 142; 127 I 31 consid. 2a/bb p. 34).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arrêt 2C_373/2011 du 7 septembre 2011 consid. 6.1). Si l'autorité a méconnu cette obligation, elle doit tolérer que l'acte concerné soit régularisé, éventuellement hors délai (arrêt 1C_141/2011 du 14 juillet 2011 consid. 2 publié in SJ 2011 I 357; ATF 120 V 413 consid. 5).</w:t>
      </w:r>
    </w:p>
    <w:p>
      <w:r>
        <w:rPr>
          <w:b/>
        </w:rPr>
        <w:t>E. 3.2</w:t>
      </w:r>
    </w:p>
    <w:p>
      <w:r>
        <w:t>.2.2. Quiconque entend utiliser une voie de recours pour laquelle le présent code prévoit la procédure écrite - et c'est le cas en l'espèce, cf. ci-dessus</w:t>
      </w:r>
    </w:p>
    <w:p>
      <w:r>
        <w:rPr>
          <w:b/>
        </w:rPr>
        <w:t>E. 4</w:t>
      </w:r>
    </w:p>
    <w:p>
      <w:r>
        <w:t>On relèvera finalement que 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p. 5).</w:t>
      </w:r>
    </w:p>
    <w:p>
      <w:r>
        <w:rPr>
          <w:b/>
        </w:rPr>
        <w:t>E. 5</w:t>
      </w:r>
    </w:p>
    <w:p>
      <w:r>
        <w:t>Le recourant, qui succombe, supportera les frais de la procédure envers l'État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