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P/3338/2020 vom 22. Juni 2021</w:t>
      </w:r>
    </w:p>
    <w:p>
      <w:r>
        <w:t>GE Cour de justice, 2021-06-22, FR</w:t>
      </w:r>
    </w:p>
    <w:p>
      <w:r>
        <w:rPr>
          <w:b/>
        </w:rPr>
        <w:t xml:space="preserve">Quelle: </w:t>
      </w:r>
      <w:r>
        <w:t>https://mcp.opencaselaw.ch/entscheid/ge_gerichte_P_3338_2020</w:t>
      </w:r>
    </w:p>
    <w:p>
      <w:r>
        <w:t>FR: GE_GERICHTE P/3338/2020 du 22 juin 2021</w:t>
      </w:r>
    </w:p>
    <w:p>
      <w:r>
        <w:t>IT: GE_GERICHTE P/3338/2020 del 22 giugno 2021</w:t>
      </w:r>
    </w:p>
    <w:p>
      <w:pPr>
        <w:pStyle w:val="Heading2"/>
      </w:pPr>
      <w:r>
        <w:t>Regeste</w:t>
      </w:r>
    </w:p>
    <w:p>
      <w:r>
        <w:t>DIFFAMATION;CALOMNIE;HONNEUR;RÉPUTATION | CPP.310; CP.173; CP.174</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a circonscrit son recours aux infractions de diffamation et de calomnie de sorte que l'infraction d'injure (art. 177 CP) n'apparaît plus litigieuse et ne sera pas examinée dans le cadre du présent arrêt (art. 385 al. 1 let. a CPP).</w:t>
      </w:r>
    </w:p>
    <w:p>
      <w:r>
        <w:rPr>
          <w:b/>
        </w:rPr>
        <w:t>E. 4</w:t>
      </w:r>
    </w:p>
    <w:p>
      <w:r>
        <w:t>Le recourant se plaint de la nature de la décision; le Ministère public ne pouvait pas rendre une ordonnance de non-entrée en matière vu les actes effectués et le temps écoulé. Il lui reproche aussi d'avoir violé l'art. 318 CPP et son droit d'être entendu.</w:t>
      </w:r>
    </w:p>
    <w:p>
      <w:r>
        <w:rPr>
          <w:b/>
        </w:rPr>
        <w:t>E. 4.1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terme " immédiatement " signifie essentiellement, dans ce contexte, que le Ministère public doit veiller au principe de célérité (N. SCHMID, Schweizerische Strafprozessordnung : Praxiskommentar , Zurich 2009, n. 8 ad art. 309).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(arrêts du Tribunal fédéral 6B_496/2018 du 6 septembre 2018 consid. 1.3.; 6B_1365/2017 du 27 juin 2018 consid. 3.3). Si le ministère public considère ensuite qu'une ordonnance de non-entrée en matière doit être rendue, il n'a pas à informer les parties de son choix puisque l'art. 318 CPP n'est pas applicable dans une telle situation; le droit d'être entendu des parties sera assuré, le cas échéant, dans le cadre de la procédure de recours contre l'ordonnance de non-entrée en matière. Cette procédure permet aux parties de faire valoir tous leurs griefs – formels et matériels – auprès d'une autorité disposant d'une pleine cognition en fait et en droit. Inversement, faute d'ouverture d'instruction, le droit de participer à l'administration des preuves ne s'applique en principe pas, et ce y compris en cas d'investigations policières diligentées à titre de complément d'enquête requis par le ministère public en vertu de l'art. 309 al. 2 CPP (arrêt du Tribunal fédéral 6B_496/2018 précité consid. 1.3). Le Ministère public ne peut, en revanche, ordonner des mesures de contrainte sans ouvrir une instruction (arrêt du Tribunal fédéral 6B_431/2013 du 8 décembre 2013 consid. 2.2 et 1B_368/2012 précité). Les mesures de contrainte sont des actes de procédure des autorités pénales qui portent atteinte aux droits fondamentaux des personnes intéressées (art. 196 al. 1 CPP). L'ordre de dépôt permet à son destinataire de fournir volontairement les objets ou valeurs requis, sans recourir à des mesures de contrainte. Cette disposition a ainsi pour unique but d'amener le détenteur d'objets ou de valeurs patrimoniales qui doivent être séquestrés à les déposer afin d'éviter cette mesure de contrainte (art. 265 al. 4 CPP; ATF 143 IV 21 consid. 3.1; arrêts du Tribunal fédéral 1B_492/2017 du 25 avril 2018 consid. 2.1; 6B_247/2017 du 21 mars 2018 consid. 3.1).</w:t>
      </w:r>
    </w:p>
    <w:p>
      <w:r>
        <w:rPr>
          <w:b/>
        </w:rPr>
        <w:t>E. 4.2</w:t>
      </w:r>
    </w:p>
    <w:p>
      <w:r>
        <w:t>En l’espèce, le fait que l’ordonnance querellée ait été rendue seize mois après le dépôt de la plainte, n’est pas, à lui seul, suffisant pour provoquer son annulation. En effet, le recourant ne se plaint pas d’une violation du principe de la célérité et la procédure ne paraît pas avoir connu des temps morts inadmissibles sous l’angle de l’art. 5 CPP. En outre, le fait qu'un ordre de dépôt ait été ordonné par le Ministère public et que la police ait procédé à l'audition de la mise en cause n'impliquent pas l'ouverture d'une instruction au sens de l'art. 309 al. 1 CPP, au vu de ce qui précède. Le grief sera donc rejeté.</w:t>
      </w:r>
    </w:p>
    <w:p>
      <w:r>
        <w:rPr>
          <w:b/>
        </w:rPr>
        <w:t>E. 5</w:t>
      </w:r>
    </w:p>
    <w:p>
      <w:r>
        <w:t>Le recourant reproche au Ministère public de ne pas être entré en matière sur les infractions de diffamation et de calomnie.</w:t>
      </w:r>
    </w:p>
    <w:p>
      <w:r>
        <w:rPr>
          <w:b/>
        </w:rPr>
        <w:t>E. 5.1</w:t>
      </w:r>
    </w:p>
    <w:p>
      <w:r>
        <w:t>L'art. 310 al. 1 let. a CPP doit être appliqué conformément à l'adage "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w:t>
      </w:r>
    </w:p>
    <w:p>
      <w:r>
        <w:rPr>
          <w:b/>
        </w:rPr>
        <w:t>E. 5.2</w:t>
      </w:r>
    </w:p>
    <w:p>
      <w:r>
        <w:t>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 173 al. 1 CP). La diffamation suppose une allégation de fait, et non pas un simple jugement de valeur (ATF 137 IV 313 consid. 2.1.2 p. 315).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En revanche, la réputation relative à l'activité professionnelle ou au rôle joué dans la communauté n'est pas pénalement protégée ; il en va ainsi des critiques qui visent comme tels la personne de métier, l'artiste ou le politicien même si elles sont de nature à blesser et à discréditer.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p. 464). Enfin, pour apprécier si une déclaration est attentatoire à l'honneur, il faut procéder à une interprétation objective selon le sens que le destinataire non prévenu devait, dans les circonstances d'espèce, lui attribuer. Les mêmes termes n'ont donc pas nécessairement la même portée suivant le contexte dans lequel ils sont employés (ATF 145 IV 462 consid. 4.2.3 p. 464).</w:t>
      </w:r>
    </w:p>
    <w:p>
      <w:r>
        <w:rPr>
          <w:b/>
        </w:rPr>
        <w:t>E. 5.3</w:t>
      </w:r>
    </w:p>
    <w:p>
      <w:r>
        <w:t>La calomnie (art. 174 CP) est une forme qualifiée de diffamation, dont elle se distingue en cela que les allégations attentatoires à l'honneur sont fausses, que l'auteur doit avoir eu connaissance de la fausseté de ses allégations et qu'il n'y a dès lors pas place pour les preuves libératoires prévues dans le cas de la diffamation (arrêts du Tribunal fédéral 6B_1100/2014 du 14 octobre 2015 consid. 4.1 et 6S.6/2002 du 6 février 2002 consid. 2a).</w:t>
      </w:r>
    </w:p>
    <w:p>
      <w:r>
        <w:rPr>
          <w:b/>
        </w:rPr>
        <w:t>E. 5.4</w:t>
      </w:r>
    </w:p>
    <w:p>
      <w:r>
        <w:t>En l'espèce, l'on pourrait s'interroger sur la question de savoir si la plainte pénale a été déposée dans le délai de trois mois à compter de la connaissance de l'auteur des infractions reprochées (art. 31 CP), puisqu'il ressort des déclarations de la mise en cause que le recourant semble avoir eu connaissance des reproches formulés avant le mois d'avril 2019. Cela étant, la question du délai de plainte peut être laissée indécise, au vu des considérations qui suivent. Il est établi et non contesté que la dénonciation litigieuse émanait d'une collaboratrice du recourant et s'adressait à leur employeur commun – soit le département des ressources humaines de B______ SA – et qu'elle visait à déplorer le comportement, estimé inapproprié, de celui-ci, au sein du service dans lequel ils travaillaient. La plainte mentionne les termes de " favoritisme ", " dénigrement ", " intimidation " et " abus de pouvoir ". Si ces critiques mettent certes en cause la gestion et les relations du recourant avec le personnel, de sorte qu'il se voit attaqué dans ses aptitudes en qualité de dirigeant d'un service, elles sont dirigées contre la réputation professionnelle de l'intéressé, laquelle échappe à la notion d'honneur pénalement protégé. Ainsi replacés dans leur contexte, les propos litigieux n'évoquent pas un comportement méprisable du recourant, au sens pénal du terme. Ainsi, faute pour les propos litigieux d'être attentatoires à l'honneur, le Ministère public était fondé à refuser d'entrer en matière sur les infractions sus-visées. Point n'est donc besoin d'examiner dans ce cadre les autres griefs soulevés, soit ceux liés à l'élément subjectif et à la preuve libératoire. Les réquisitions de preuve sollicitées seront rejetées, pour les mêmes raisons. En tant que le recourant semble plutôt se plaindre du licenciement dont il a fait l'objet, il lui appartiendra – si ce n'est déjà fait –, de saisir les autorités compétentes en matière de droit du travail, dès lors que cette question dépasse l'objet du présent litige.</w:t>
      </w:r>
    </w:p>
    <w:p>
      <w:r>
        <w:rPr>
          <w:b/>
        </w:rPr>
        <w:t>E. 6</w:t>
      </w:r>
    </w:p>
    <w:p>
      <w:r>
        <w:t>Justifiée, l'ordonnance querellée sera donc confirmée.</w:t>
      </w:r>
    </w:p>
    <w:p>
      <w:r>
        <w:rPr>
          <w:b/>
        </w:rPr>
        <w:t>E. 7</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