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P/3314/2025 vom 31. Juli 2025</w:t>
      </w:r>
    </w:p>
    <w:p>
      <w:r>
        <w:t>GE Cour de justice, 2025-07-31, FR</w:t>
      </w:r>
    </w:p>
    <w:p>
      <w:r>
        <w:rPr>
          <w:b/>
        </w:rPr>
        <w:t xml:space="preserve">Quelle: </w:t>
      </w:r>
      <w:r>
        <w:t>https://mcp.opencaselaw.ch/entscheid/ge_gerichte_P_3314_2025</w:t>
      </w:r>
    </w:p>
    <w:p>
      <w:r>
        <w:t>FR: GE_GERICHTE P/3314/2025 du 31 juillet 2025</w:t>
      </w:r>
    </w:p>
    <w:p>
      <w:r>
        <w:t>IT: GE_GERICHTE P/3314/2025 del 31 luglio 2025</w:t>
      </w:r>
    </w:p>
    <w:p>
      <w:pPr>
        <w:pStyle w:val="Heading2"/>
      </w:pPr>
      <w:r>
        <w:t>Regeste</w:t>
      </w:r>
    </w:p>
    <w:p>
      <w:r>
        <w:t>DROIT D'ÊTRE ENTENDU;PREUVE ILLICITE;MANDAT DE PERQUISITION;SOUPÇON | Cst.29; CPP.141; CPP.244</w:t>
      </w:r>
    </w:p>
    <w:p>
      <w:pPr>
        <w:pStyle w:val="Heading2"/>
      </w:pPr>
      <w:r>
        <w:t>Erwägungen</w:t>
      </w:r>
    </w:p>
    <w:p>
      <w:r>
        <w:rPr>
          <w:b/>
        </w:rPr>
        <w:t>E. 1.1</w:t>
      </w:r>
    </w:p>
    <w:p>
      <w:r>
        <w:t>Le recours a été interjeté selon la forme et dans le délai prescrits (art. 385 al. 1 et 396 al. 1 CPP) et émane du prévenu, partie à la procédure (art. 104 al. 1 let. a CPP).</w:t>
      </w:r>
    </w:p>
    <w:p>
      <w:r>
        <w:rPr>
          <w:b/>
        </w:rPr>
        <w:t>E. 1.2</w:t>
      </w:r>
    </w:p>
    <w:p>
      <w:r>
        <w:t>En refusant le retranchement de pièces prétendument inexploitables du dossier, le Ministère public a rendu une décision sujette à recours auprès de la Chambre de céans (art. 393 al. 1 let. a CPP; arrêt du Tribunal fédéral 1B_485/2021 du 26 novembre 2021 consid. 2.4).</w:t>
      </w:r>
    </w:p>
    <w:p>
      <w:r>
        <w:rPr>
          <w:b/>
        </w:rPr>
        <w:t>E. 1.3</w:t>
      </w:r>
    </w:p>
    <w:p>
      <w:r>
        <w:t>En tant que les soupçons d'infraction à la LEI contre le recourant découlent de la perquisition du 2 juin 2023, le précité dispose d'un intérêt juridiquement protégé (art. 382 al. 1 CPP; cf. arrêt du Tribunal fédéral 1B_550/2021 du 13 janvier 2022 consid. 3.1 et 3.2 [aucune saisie n'ayant été effectuée]) à faire constater l'illicéité de cette mesure – même s'il n'a pas agi contre l'ordonnance topique – dès lors que l'(in)exploitabilité de ses déclarations en dépend. Partant, le recours est recevable.</w:t>
      </w:r>
    </w:p>
    <w:p>
      <w:r>
        <w:rPr>
          <w:b/>
        </w:rPr>
        <w:t>E. 2</w:t>
      </w:r>
    </w:p>
    <w:p>
      <w:r>
        <w:t>Le recourant se plaint d'une motivation insuffisante de la décision querellée.</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(ATF 147 IV 249 consid. 2.4; arrêt du Tribunal fédéral 6B_136/2024 du 12 mars 2025 consid. 2.1.3 et les références citées).</w:t>
      </w:r>
    </w:p>
    <w:p>
      <w:r>
        <w:rPr>
          <w:b/>
        </w:rPr>
        <w:t>E. 2.2</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7B_482/2024 du 21 mai 2024 consid. 2.2.1).</w:t>
      </w:r>
    </w:p>
    <w:p>
      <w:r>
        <w:rPr>
          <w:b/>
        </w:rPr>
        <w:t>E. 2.3</w:t>
      </w:r>
    </w:p>
    <w:p>
      <w:r>
        <w:t>En l'occurrence, face aux demandes du recourant, le Ministère public a excipé, pour les refuser implicitement, premièrement, de l'absence de recours contre l'ordonnance de perquisition du 2 juin 2023 et, deuxièmement, du fait que le précité a réitéré, par-devant son autorité, ses déclarations faites à la police, pour les refuser implicitement. Sans égard au bien-fondé de cette motivation, force est toutefois de constater que le Ministère public a exposé – certes, brièvement – les motifs qui l'ont conduit à rendre la décision querellée, suffisamment en tous cas pour permettre au recourant de les contester. Ce dernier n'avait, en outre, pas besoin d'une décision formelle sujette à recours pour agir, preuve en est qu'il a valablement recouru contre le courrier du 14 avril 2025. Par conséquent, ce grief sera rejeté.</w:t>
      </w:r>
    </w:p>
    <w:p>
      <w:r>
        <w:rPr>
          <w:b/>
        </w:rPr>
        <w:t>E. 3</w:t>
      </w:r>
    </w:p>
    <w:p>
      <w:r>
        <w:t>Le recourant soutient que la perquisition de son domicile était illicite, faute de soupçon suffisant, et que, pour cette raison, les moyens de preuve issus de cette mesure seraient inexploitables.</w:t>
      </w:r>
    </w:p>
    <w:p>
      <w:r>
        <w:rPr>
          <w:b/>
        </w:rPr>
        <w:t>E. 3.1</w:t>
      </w:r>
    </w:p>
    <w:p>
      <w:r>
        <w:t>Aux termes de l’art. 141 al. 2 CPP, les preuves qui ont été administrées d'une manière illicite par les autorités pénales ne sont pas utilisables, à moins qu’elles soient indispensables pour élucider des infractions graves. Plus l'infraction est grave, plus l'intérêt public à la découverte de la vérité l'emporte sur l'intérêt privé du prévenu à ce que la preuve soit écartée (ATF 147 IV 9 consid. 1.3.1).</w:t>
      </w:r>
    </w:p>
    <w:p>
      <w:r>
        <w:rPr>
          <w:b/>
        </w:rPr>
        <w:t>E. 3.2</w:t>
      </w:r>
    </w:p>
    <w:p>
      <w:r>
        <w:t>La perquisition (art. 244 CPP) se définit comme la recherche, en tout lieu clos, de moyens de preuve pouvant aider à la manifestation de la vérité ( ACPR/155/2025 du 25 février 2025, consid. 2.4.1; Y. JEANNERET/ A. KUHN/ C. PERRIER DEPEURSINGE (éds), Commentaire romand : Code de procédure pénale suisse , 2 ème éd. Bâle 2019 n. 8 ad art. 241). Cette mesure de contrainte ne peut être ordonnée qu'aux conditions posées par l'art. 197 al. 1 CPP, à savoir que: des soupçons suffisants laissent présumer une infraction (let. b); elle apparaît justifiée au regard de la gravité de cette infraction (let. d); les buts qu'elle poursuit ne peuvent être atteints par d'autres actes moins sévères (let. c). L'autorité statue sous l'angle de la vraisemblance, examinant des prétentions se rapportant à des faits non encore établis (arrêt du Tribunal fédéral 1B_143/2022 du 30 août 2022 consid. 4.1 [rendu en matière de séquestre]; ACPR/383/2025 du 21 mai 2025 consid. 2.2). Le soupçon est suffisant ( cf. art. 197 al. 1 let. b CPP) quand il existe, à teneur du dossier, des indices importants et concrets de la commission d’un acte pénalement répréhensible (ATF 150 IV 239 consid. 3.4).</w:t>
      </w:r>
    </w:p>
    <w:p>
      <w:r>
        <w:rPr>
          <w:b/>
        </w:rPr>
        <w:t>E. 3.3</w:t>
      </w:r>
    </w:p>
    <w:p>
      <w:r>
        <w:t>En l'espèce, le recourant a été vu, par la police, sortir d'une allée avec une travailleuse du sexe, elle-même aperçue quelques jours plus tôt se rendre dans cet immeuble, accompagnée par le couple suspecté d'être à la tête du réseau de prostitution illégale investigué. Le recourant l'a ensuite accompagnée, notamment jusqu'à la gare Cornavin, de façon similaire à des tiers également observés en train de prendre en charge d'autres prostituées lors de leurs déplacements. Contrairement à ce que soutient le recourant, de telles circonstances sont susceptibles de faire naître de – forts – soupçons à son encontre, d'être impliqué dans ledit réseau. Il n'était donc ni " hasardeux ", ni " précipité " d'ouvrir une instruction contre lui et d'ordonner la perquisition de son domicile. Compte tenu des infractions alors en cause, il ne pouvait pas être d'emblée exclu que des éléments utiles à l'enquête s'y trouvassent, par exemple de l'argent liquide. Dès lors, rien ne permet de qualifier d'illicite la perquisition du 2 juin 2024 au domicile du recourant, la mesure remplissant toutes les conditions légales pour être ordonnées. En conséquence, la découverte, même fortuite, dans l'appartement, par la police, de B______, qui a admis être hébergé par le recourant et vivre en Suisse sans permis, et les déclarations subséquentes de l'intéressé à ce sujet, n'apparaissent pas affectée d'un vice initial qui les rendraient inexploitables.</w:t>
      </w:r>
    </w:p>
    <w:p>
      <w:r>
        <w:rPr>
          <w:b/>
        </w:rPr>
        <w:t>E. 4</w:t>
      </w:r>
    </w:p>
    <w:p>
      <w:r>
        <w:t>Justifiée, la décision querellée sera donc confirmée. Le recours, qui s'avère mal fondé, pouvait d'emblée être traité sans échange d'écritures, ni débats (art. 390 al. 2 et 5 a contrario CPP).</w:t>
      </w:r>
    </w:p>
    <w:p>
      <w:r>
        <w:rPr>
          <w:b/>
        </w:rPr>
        <w:t>E. 5</w:t>
      </w:r>
    </w:p>
    <w:p>
      <w:r>
        <w:t>Le recourant, qui succombe, supportera les frais envers l'État, fixés en intégralité à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