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P/3313/2012 vom 22. Dezember 2015</w:t>
      </w:r>
    </w:p>
    <w:p>
      <w:r>
        <w:t>GE Cour de justice, 2015-12-22, FR</w:t>
      </w:r>
    </w:p>
    <w:p>
      <w:r>
        <w:rPr>
          <w:b/>
        </w:rPr>
        <w:t xml:space="preserve">Quelle: </w:t>
      </w:r>
      <w:r>
        <w:t>https://mcp.opencaselaw.ch/entscheid/ge_gerichte_P_3313_2012</w:t>
      </w:r>
    </w:p>
    <w:p>
      <w:r>
        <w:t>FR: GE_GERICHTE P/3313/2012 du 22 décembre 2015</w:t>
      </w:r>
    </w:p>
    <w:p>
      <w:r>
        <w:t>IT: GE_GERICHTE P/3313/2012 del 22 dicembre 2015</w:t>
      </w:r>
    </w:p>
    <w:p>
      <w:pPr>
        <w:pStyle w:val="Heading2"/>
      </w:pPr>
      <w:r>
        <w:t>Regeste</w:t>
      </w:r>
    </w:p>
    <w:p>
      <w:r>
        <w:t>ABUS D'AUTORITÉ; APPRÉCIATION DES PREUVES; INFRACTIONS CONTRE LES DEVOIRS DE FONCTION; IN DUBIO PRO REO; DOMMAGE PUREMENT ÉCONOMIQUE; INDEMNITÉ(EN GÉNÉRAL); CLASSEMENT DE LA PROCÉDURE | CP.312; CPP.10.2; CPP.10.3; CPP.429.1.b; CO.41</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arrêts du Tribunal fédéral 6B_458/2013 du 4 novembre 2013 consid. 1.3.2 et 6B_444/2011 du 20 octobre 2011 consid. 2.5). La Chambre limite son examen aux violations décrites dans l'acte d'appel (art. 404 al. 1 CPP), sauf en cas de décisions illégales ou inéquitables (art. 404 al. 2 CPP).</w:t>
      </w:r>
    </w:p>
    <w:p>
      <w:r>
        <w:rPr>
          <w:b/>
        </w:rPr>
        <w:t>E. 2</w:t>
      </w:r>
    </w:p>
    <w:p>
      <w:r>
        <w:t>2.1.1.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Rien ne s'oppose à ne retenir qu'une partie des déclarations d'un témoin globalement crédible (ATF 120 Ia 31 consid. 3 spéc. p. 39). 2.1.2.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2.1.3.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Ce dessein ne vise pas le but ultime de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6S.885/2000 du 26 février 2002 consid. 4a/bb ; ATF 99 IV 13 ). 2.1.4. En l'espèce, il est établi que C______, qui urinait ostensiblement sur la chaussée de la rue des Alpes, a été surpris par une patrouille de policiers, en civils, en flagrante contravention de violation du règlement sur la propreté, la salubrité et la sécurité publique (art. 1 al. 3 ; RS/GE F 3 15.04). Il est également établi que le plaignant s'est livré à des injures sur la personne de F______ en la traitant de " pétasse " (art. 177 CP ; arrêt du Tribunal fédéral 6S.634/2001 du 20 décembre 2001 consid. 2). Compte tenu de son état d'ébriété, les forces de l'ordre étaient autorisées à conduire le plaignant au poste de police (art. 51 de la loi sur la police [LPol ; RS/GE F 1 05]). L'intervention poursuivait un but légitime, de sorte que seul demeure litigieux le point de savoir si l'intimé A______ a recouru à des moyens disproportionnés pour l'atteindre. Les déclarations de A______ sont globalement cohérentes et crédibles. De manière constante, celui-ci a relaté qu'il avait demandé, de manière peu formelle, au plaignant de cesser d'uriner, que celui-ci n'avait pas obtempéré, qu'il avait donc enclenché – au moins brièvement – le gyrophare, s'était légitimé et avait réitéré son ordre, mais que C______ avait continué à proférer des insultes, notamment à l'endroit de sa collègue féminine, ce qui l'avait décidé à sortir du véhicule. Il avait tenté d'amener l'individu contre le mur afin de contrôler son identité, mais celui-ci gesticulait tellement qu'il avait été contraint, à défaut de prise valable, de l'amener au sol pour le maîtriser, avec l'aide de ses collègues. Cette version "progressive" des événements est similaire à celle qui résulte de l'inscription au journal, saisie le soir des faits par l'un des agents, à teneur de laquelle la patrouille a actionné le feu bleu et le plaignant s'est opposé à son interpellation, malgré les injonctions d'usage, rendant nécessaires l'usage des clés de bras et de cou pour le menotter. Le rapport de contravention, certes co-signé par l'agent A______, vient encore corroborer le déroulement "graduel" des événements. À cela s'ajoute le témoignage de G______, qui a vu deux agents saisir son ami et le plaquer contre le mur, ce qu'il supposait toutefois être la " procédure habituelle " pour menotter quelqu'un. Il en découle que si l'usage de la force lui avait paru disproportionné ou excessif, le témoin n'aurait pas choisi ces mots, d'autant que ce dernier a bien été surpris par la réaction du plaignant, qu'il a qualifié d'imprudente et que selon lui, C______ avait gesticulé lors de l'intervention, ce qui, en regard de sa masse corporelle, avait eu un " certain impact ". Les témoignages des agents de patrouille doivent, certes, être appréciés à l'aune du lien de loyauté les unissant à leur chef. Cela étant, tous s'accordent à dire que C______ n'était pas dans son état normal et qu'il n'a pas été possible de procéder au contrôle d'identité calmement, l'individu s'étant d'emblée débattu, nonobstant les légitimations orales et injonctions d'usage. En particulier, F______ a eu la " certitude " d'avoir dit " monsieur, c'est la police " à C______, et s'est en outre souvenue avoir été éblouie par le gyrophare, cela donc avant que les agents sortent de leur véhicule. Il n'est pas contesté qu'une fois sorti de la voiture, mais après que C______ eut refusé d'obtempérer, l'intimé A______ a dû rapidement recourir à la contrainte pour l'appréhender. Tous les intervenants ont en effet mentionné une "mêlée" empreinte de confusion, le témoin G______ relevant la rapidité avec laquelle les événements se sont enchaînés. Au surplus, il n'y a pas lieu de revenir sur les blessures du plaignant au stade de l'examen de la proportionnalité. En effet, les lésions, pas même mentionnées dans le développement de l'ordonnance pénale, valant acte d'accusation, sont la conséquence de la force déployée pour la mise au sol, pour lesquelles un classement définitif a été prononcé. Certes, des incohérences subsistent. En particulier, le témoin E______ a déclaré que ses deux collègues n'avaient pas eu besoin de lui pour appréhender l'individu, alors que l'agent D______ a prétendu n'être intervenu qu'à la fin de l'intervention, et que l'officier F______ a indiqué que ses collègues s'étaient "sans doute" mis à trois pour l'interpeller, elle-même ayant dû lui maintenir les jambes. Ce constat doit cependant être relativisé, vu l'écoulement du temps, les déclarations des policiers étant dans l'ensemble cohérentes et convaincantes. Ainsi, il ne fait aucun doute que l'état d'agitation de l'appréhendé était tel qu'il aura fallu la force de deux, voire trois agents pour le maîtriser et l'amener à terre, puis d'un quatrième pour le menotter, étant rappelé sa carrure athlétique. À l'inverse, les déclarations de C______ souffrent quelques inconsistances, qui peuvent s'expliquer par son état d'ébriété avancé, ce qu'il a lui-même reconnu. Il est dès lors évident que sa perception des événements et sa mémoire ont été considérablement altérées. À titre d'exemple, il était persuadé d'uriner dans une ruelle discrète, qui s'avère être une voie fréquentée, même à 04h00 du matin. Les termes de sa plainte, selon lesquels il aurait été "giclé" contre le mur et "jeté" au sol, doivent dès lors être appréciés avec circonscription. Il en va de même du fait qu'il aurait reculé "d'un mètre et demi" à l'approche des policiers. Il n'apparaît dès lors guère surprenant, vu son état, que C______ n'ait pas aperçu le gyrophare, ni entendu les policiers se légitimer. Cela est plus troublant s'agissant de G______. Il n'est cependant pas exclu que le comportement "imprudent" de son ami ait cristallisé toute l'attention du témoin, et qu'il n'ait ainsi pas non plus vu les quelques brefs flashs du feu bleu. Compte tenu du manque de fiabilité des déclarations du plaignant et à défaut d'autres éléments pouvant les confirmer, la CPAR ne peut tenir cette version des faits pour plus exacte que celle du prévenu, qui est resté constant sur l'attitude verbalement agressive et physiquement non coopérante du premier. Au vu de ce qui précède, il ne peut être établi au-delà de tout doute raisonnable que l'intimé A______ a recouru à des moyens de contrainte excessifs pour procéder à l'interpellation de C______. Les circonstances de l'intervention et la potentielle dangerosité d'un individu alcoolisé ne permettent pas non plus, compte tenu de la réalité du terrain, d'envisager que A______ aurait pu ou dû se contenter d'avoir recours à des moyens moins dommageables. Même sans incertitude sur la réalisation des éléments objectifs de l'infraction visée à l'art. 312 CP, un doute subsisterait sur le dessein poursuivi par A______. En effet, on ne trouve rien dans l'acte d'accusation permettant d'identifier avec exactitude en quoi le prévenu aurait eu l'intention de nuire au plaignant. Il ne ressort pas davantage du dossier que le prévenu aurait voulu, ou accepté par dol éventuel, en se comportant comme il l'a fait le jour des faits, vengé l'honneur de sa collègue F______, contrairement à ce que soutient le Ministère public. Même à admettre qu'un policier aurait prononcé une phrase du type de celle qu'ont entendu C______ et G______, (" on va t'apprendre à parler aux femmes " ou " [ … ] à notre collègue "), bien que cela ne ressorte pas de la plainte, cela ne suffirait pas encore à fonder un dessein de vengeance, encore moins imputable à A______, d'autant que les officiers ont l'habitude d'être confrontés à des injures dans le cadre de leur fonction. L'intéressée a par ailleurs laissé entendre que les propos désobligeants dont elle avait été la cible ne l'avaient pas chamboulée outre mesure. Partant, c'est à bon droit que le premier juge a acquitté A______ du chef d'abus d'autorité.</w:t>
      </w:r>
    </w:p>
    <w:p>
      <w:r>
        <w:rPr>
          <w:b/>
        </w:rPr>
        <w:t>E. 3</w:t>
      </w:r>
    </w:p>
    <w:p>
      <w:r>
        <w:t>2. En l'espèce, A______ a démontré avec une haute vraisemblance que la présente procédure l'avait empêché d'accéder à un grade supérieur au sein de la police judiciaire, dans la mesure où la lettre de la cheffe de la police mentionne expressément l'ordonnance pénale du 18 novembre 2013 comme étant la raison de l'ajournement de sa nomination en tant que chef de brigade. Le rapport de causalité adéquate est également établi, dans la mesure où une procédure pénale est propre, d'après le cours ordinaire des choses et l'expérience générale de la vie, à entraîner le refus d'une promotion, en particulier au sein d'un corps de métier dont la fonction est de garantir le respect des lois. Le Ministère public n'allègue par ailleurs pas que le Conseil d'État aurait violé le droit en décidant de surseoir à la nomination. A______ a suffisamment chiffré son dommage ( supra , consid. d.a.c.), de sorte que l'indemnité de CHF 5'000.- octroyée par le premier juge sera confirmée. La réserve des droits de l'intimé, eu égard au préjudice éventuel lié à la caisse de prévoyance professionnelle, est inutile, puisqu'il pourra sans autre les faire valoir en temps utile, s'il s'y estime fondé.</w:t>
      </w:r>
    </w:p>
    <w:p>
      <w:r>
        <w:rPr>
          <w:b/>
        </w:rPr>
        <w:t>E. 4</w:t>
      </w:r>
    </w:p>
    <w:p>
      <w:r>
        <w:t>Vu l'issue de la procédure, les frais seront laissés à la charge de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