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P/3239/2020 vom 12. März 2024</w:t>
      </w:r>
    </w:p>
    <w:p>
      <w:r>
        <w:t>GE Cour de justice, 2024-03-12, FR</w:t>
      </w:r>
    </w:p>
    <w:p>
      <w:r>
        <w:rPr>
          <w:b/>
        </w:rPr>
        <w:t xml:space="preserve">Quelle: </w:t>
      </w:r>
      <w:r>
        <w:t>https://mcp.opencaselaw.ch/entscheid/ge_gerichte_P_3239_2020</w:t>
      </w:r>
    </w:p>
    <w:p>
      <w:r>
        <w:t>FR: GE_GERICHTE P/3239/2020 du 12 mars 2024</w:t>
      </w:r>
    </w:p>
    <w:p>
      <w:r>
        <w:t>IT: GE_GERICHTE P/3239/2020 del 12 marzo 2024</w:t>
      </w:r>
    </w:p>
    <w:p>
      <w:pPr>
        <w:pStyle w:val="Heading2"/>
      </w:pPr>
      <w:r>
        <w:t>Regeste</w:t>
      </w:r>
    </w:p>
    <w:p>
      <w:r>
        <w:t>ABUS DE CONFIANCE;FAUX MATÉRIEL DANS LES TITRES;DIFFAMATION;PREUVE LIBÉRATOIRE;IN DUBIO PRO REO | CP.138.ch1; CP.173.ch2; CP.172.chter; CP.173.ch1; CP.251.ch1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L'art. 9 CPP consacre la maxime d'accusation, laquelle découle également des art. 29 al. 2 et 32 al. 2 de la Constitution fédérale [Cst.] (droit d'être informé, dans les plus brefs délais et de manière détaillée, des accusations portées contre soi) et 6 par. 3 let. a de la Convention de sauvegarde des droits de l'homme et des libertés fondamentales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précise et complète mais concise (ATF 140 IV 188 consid. 1.4). Celui-ci ne poursuit pas le but de justifier ni de prouver le bien-fondé des allégations du Ministère public, qui sont discutées lors des débats (arrêts du Tribunal fédéral 6B_1023/2017 du 25 avril 2018 consid. 1.1, non publié in ATF 144 IV 189 ; 6B_1185/2018 du 14 janvier 2019, consid. 2.1)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Le fait de regrouper, dans l'acte d'accusation, plusieurs infractions de même catégorie ne constitue pas une violation de l'art. 325 CPP, aussi longtemps que tous les faits qui correspondent aux éléments constitutifs des infractions envisagées sont mentionnés (arrêts du Tribunal fédéral 6B_1297/2017 du 26 juillet 2018 consid. 4.1 ; 6B_666/2015 du 27 juin 2016 consid. 1.3.3).</w:t>
      </w:r>
    </w:p>
    <w:p>
      <w:r>
        <w:rPr>
          <w:b/>
        </w:rPr>
        <w:t>E. 2.2</w:t>
      </w:r>
    </w:p>
    <w:p>
      <w:r>
        <w:t>En l'espèce, l'ordonnance pénale du 10 décembre 2021 reproche à l'appelante 236 opérations frauduleuses commises entre 2015 et 2018 par lesquelles elle a " us[é] de stratagèmes lui permettant de détourner des liquidités de la petite caisse fonds qu'elle avait sous sa responsabilité, tout en maquillant différentes saisies comptables pour que cela ne se remarque pas ", puis énumère quatre méthodes utilisées par l'appelante au cours desquelles elle aurait procédé à des enregistrements incorrects dans le système de comptabilité. Au vu de l'importance du nombre d'agissements litigieux, il ne peut être reproché au MP d'avoir regroupé les infractions de même catégorie, afin que l'ordonnance pénale reste lisible. Des imprécisions quant à la date de commission des infractions sont sans portée, d'autant plus que la période pénale est suffisamment circonscrite, et les opérations ont été catégorisées en quatre groupes, chacun expliquant en détail le mode opératoire reproché. Au terme de l'instruction, l'ordonnance pénale retient 236 opérations frauduleuses, soit le nombre d'opérations indiqué dans le rapport de la Brigade financière, et un montant total détourné de CHF 29'101.-, soit le montant figurant dans le rapport H______, et également confirmé par la Brigade financière. Ainsi, contrairement à ce qu'elle argue, l'appelante ne pouvait avoir de doute sur les comportements qui lui étaient reprochés, sur lesquels elle s'est déterminée à plusieurs reprises, et a pu exercer efficacement son droit à la défense. L'ordonnance pénale remplit ainsi sa fonction de délimitation et d'information, de sorte qu'un classement concernant la totalité des faits d'abus de confiance ne saurait être prononcé. L'appel est rejeté sur ce point.</w:t>
      </w:r>
    </w:p>
    <w:p>
      <w:r>
        <w:rPr>
          <w:b/>
        </w:rPr>
        <w:t>E. 3.1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Les résultats issus d'une expertise privée sont soumis au principe de la libre appréciation des preuves et sont considérés comme des simples allégués de parties (ATF 142 II 355 consid. 6 ; 141 IV 369 consid. 6). 3.3.1.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Le comportement délictueux consiste à utiliser la valeur patrimoniale contrairement aux instructions reçues, en s'écartant de la destination fixée (ATF 129 IV 257 consid. 2.2.1). Bien que cet élément ne soit pas explicitement énoncé à l'art. 138 CP, la disposition exige que le comportement adopté par l'auteur cause un dommage, qui représente en l'occurrence un élément constitutif objectif non écrit (ATF 111 IV 19 consid. 5 ; arrêt du Tribunal fédéral 6B_972/2018 du 20 novembre 2018 consid. 2.1). Du point de vue subjectif, l'auteur doit avoir agi intentionnellement et dans un dessein d'enrichissement illégitime ou de procurer à un tiers un enrichissement illégitime (ATF 118 IV 27 consid. 2a ; arrêts du Tribunal fédéral 6B_356/2016 du 6 mars 2017 consid. 2.1). 3.3.2. Le cas est atténué lorsque l’auteur ne visait qu’un élément patrimonial de faible valeur conformément à l'art. 172ter al. 1 CP. Dans ce cas, l’abus de confiance est une contravention et l’auteur peut être puni de l’amende (A. MACALUSO / L. MOREILLON / N. QUELOZ (éds), Commentaire romand, Code pénal II, vol. II, Partie spéciale : art. 111-392 CP, Bâle 2017, n 60 ad art. 138). 3.3.3. Il y a unité naturelle d'action lorsque des actes séparés procèdent d'une décision unique et apparaissent objectivement comme des évènements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et 131 IV 83 consid. 2.4.5). Les infractions en série, comme des vols ou des abus de confiance successifs, doivent être considérées comme une pluralité d’infractions dont chacune sera sanctionnée à titre individuel, le cas échéant en appliquant l'art. 172ter CP si ces valeurs individuelles sont inférieures à CHF 300.- (A. MACALUSO / L. MOREILLON / N. QUELOZ (éds), op. cit., n 16 ad art. 172ter). Ainsi, il a été jugé que ne formaient pas une unité naturelle d'action plusieurs dizaines de détournements de fonds distincts sur une période de deux ans (arrêt du Tribunal fédéral 6B_1248/2019 du 17 décembre 2019, consid. 4.3 ; AARP/128/2020 du 24 mars 2020, consid. 2.8) ou encore 14 abus de confiance répartis sur 14 mois et espacés de quelques jours à quelques mois (arrêt du Tribunal fédéral 6B_25/2008 du 9 octobre 2008 consid. 3). 3.3.4. L'action pénale en cas de contravention se prescrit par trois ans (art. 109 CP). 3.3.5. En l'espèce, le rapport de l'audit effectué par H______ SA constitue une expertise privée et ainsi un élément de preuve à analyser parmi d'autres. Les arguments avancés par l'appelante afin de mettre en doute l'impartialité de H______ SA ne convainquent pas. H______ SA, informée en amont du contexte dans lequel le rapport était demandé, soit de la forte suspicion éprouvée par la nouvelle équipe dirigeante de D______ à l'égard de la précédente gouvernance, disposait de toutes les qualifications et accréditations nécessaires, si bien qu'elle possédait les compétences idoines pour s'acquitter de son mandat. Malgré les nombreuses pièces justificatives manquantes dans la comptabilité de D______, cette société a été en mesure de réaliser l'audit, sans émettre de supposition. En outre, on peine à comprendre pourquoi D______ aurait dépensé plus de CHF 200'000.- pour obtenir un rapport d'audit faussé, uniquement dans le but de " jeter l'opprobre " sur l'appelante. La Brigade financière, une fois en possession des pièces nécessaires, a été en mesure d'approuver le rapport d'audit de H______ SA et de confirmer les totaux. Ainsi, la théorie du complot avancée par l'appelante ne repose sur aucun élément objectif et il n'existe pas de raison pertinente de s'écarter des conclusions du rapport H______, qui décrivent avec précision les manquements et fraudes dans la tenue de la comptabilité de caisse de D______. Les comptes de D______ étaient annuellement soumis au réviseur N______ SA dont les rapports n'ont pas mis en évidence les manquements reprochés à l'appelante. Il appert toutefois à la lecture de ces rapports que le contrôle effectué était restreint, comme l'a indiqué C______, et que les comptes de caisses n'ont pas été analysés en détail. Or, le montant détourné s'élevant à CHF 29'101.- sur plus de quatre ans, il est tout à fait envisageable que l'analyse effectuée par l'organe de révision, portant sur les comptes pris dans leur ensemble et se concentrant sur des anomalies significatives, ne les ait pas mis en exergue, contrairement à l'audit H______ SA, effectué de manière beaucoup plus approfondie. Ainsi, les faits en lien avec des dizaines d'occurrences réparties en trois schémas de fraude, l'enregistrement d'écritures ne correspondant pas à la réalité et le détournement d'espèces à concurrence de CHF 29'101.- au total, tels que décrits dans le rapport H______, sont établis. L'appelante conteste les faits et argue que ses nom d'utilisateur et mot de passe étaient connus d'autres personnes et qu'elle n'était ainsi pas la seule à entrer des données dans le système comptable. Or, il ressort de ses déclarations détaillées, mais également du rapport H______, que depuis septembre 2013 et jusqu'à son licenciement en 2019, elle était seule en charge de la comptabilité de D______. Elle a indiqué être la seule à enregistrer les opérations comptables dans le système et que le code "D______001" lui était attribué à elle-seule. Elle a certes expliqué qu'en cas de soucis, E______ SA pouvait modifier les écritures sur sa demande avec le code 001 et que l'" IT GUY " connaissait son mot de passe, et qu'ils pouvaient ainsi être les auteurs des écritures. Mais on peine à comprendre quel aurait été l'intérêt de E______ SA et du responsable informatique et comment ils auraient pu agir sans disposer des justificatifs comptables, en mains de l'appelante. Elle a également argué que le vice-secrétaire vérifiait toutes les factures avant de les signer. Cette procédure de vérification ne l'empêchait toutefois pas, a posteriori, d'entrer dans le système comptable des chiffres inexacts, ne correspondant pas à ceux mentionnés sur les factures. La Cour est ainsi d'avis que l'appelante a intentionnellement effectué l'intégralités des opérations frauduleuses mentionnées dans l'ordonnance pénale du 10 décembre 2021, à l'exception de celle en lien avec un détournement de CHF 10'000.- pour laquelle elle a été acquittée, prélevant régulièrement de petits montants afin de s'enrichir. Elle s'est dès lors rendu coupable d'abus de confiance. Au vu de la jurisprudence citée, en cas d'abus de confiance répétés, il n'y a pas d'unité naturelle d'action, mais des actes distincts, devant être sanctionnés individuellement. Afin d'analyser si l'art. 172ter CP trouve application, il ne faut dès lors pas se fonder sur le montant total détourné, mais sur le montant de chaque abus de confiance réalisé. En l'espèce, six opérations frauduleuses portent sur des montants dépassant individuellement CHF 300.- (les écritures des 31 mai 2016, 6 et 7 juin 2017, 4 janvier 2018, 18 juillet 2018 et 22 février 2019) et ne peuvent ainsi pas être considérées comme des cas de peu d'importance. L'appelante sera dès lors reconnue coupable de six cas d'abus de confiance (art. 138 ch. 1 al. 2 CP). Les autres infractions reprochées portent en revanche sur des montants inférieurs à CHF 300.- et sont sujettes à l'art. 172ter CP. Commises entre avril 2015 et octobre 2018, ces infractions sont aujourd'hui prescrites – elles l'étaient déjà lors des débats de première instance – et feront l'objet d'un classement (art. 329 al. 4 et 5 CPP). Le jugement entrepris sera réformé sur ce point. 3.4.1.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à savoir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Sa crédibilité doit être accrue et son destinataire doit pouvoir s'y fier raisonnablement. Il doit résulter des circonstances concrètes ou de la loi que le document est digne de confiance, de telle sorte qu'une vérification par le destinataire n'est pas nécessaire et ne saurait être exigée (ATF 144 IV 13 consid. 2.2.3 ; ATF 142 IV 119 consid. 2.1 ; ATF 138 IV 130 consid. 2.1 ; arrêt du Tribunal fédéral 6B_55/2017 du 24 mars 2017 consid. 2.2). Il a ainsi été déduit sous l'empire de l'ancien droit comptable, du fait que les articles 957 et 963 CO définissent le contenu des documents de comptabilité commerciale, que ceux-ci (pièces justificatives, livres, extraits de compte, bilans ou comptes de résultat) étaient des titres aptes à prouver l'exactitude de la situation et des opérations qu'ils présentent (ATF 132 IV 15 consid. 8.1 ; 129 IV 130 consid. 2.2) et que, même non prescrite par la loi, mais tenue sur une base volontaire pour atteindre les buts visés à l'art. 957 CO, une comptabilité demeurait un titre d’une valeur probante accrue, susceptible donc de constituer un faux dans les titres, à la condition (i) qu’elle soit tenue dans un contexte économique ou commercial et (ii) comprenne des livres et justificatifs exhaustifs, et permette dès lors la constatation de la situation financière (ATF 125 IV 17 consid. 2b/aa ; A. MACALUSO / L. MOREILLON / N. QUELOZ (éds), op. cit., n. 85 ad art. 251). Depuis l'entrée en vigueur du nouveau droit comptable, une partie de la doctrine estime que l'extension du domaine de l'obligation comptable, et la modulation de son intensité en fonction des besoins réels, justifient de renoncer à l'incrimination de faux dans les titres dans la mesure où la comptabilité est tenue sur une base volontaire. Ces auteurs estiment également que, lorsque, ou dans la mesure où, la comptabilité est tenue de façon si lacunaire ou irrégulière qu’elle ne donne même plus l’apparence de l’image exacte et complète de la situation économique réelle qu’elle est censée fournir, un faux intellectuel est exclu (A. MACALUSO / L. MOREILLON / N. QUELOZ (éds), op. cit., n. 86 et 87 ad art. 251 ; RINGELMANN C., in Ackermann/Heine, Wirtschaftsstrafrecht, § 18 n. 36). Sur le plan subjectif, le faux dans les titres est une infraction intentionnelle. 3.4.2. Pour dissimuler les nombreux détournements opérés dans la petite caisse, l'appelante a enregistré dans le système de comptabilité des écritures dont le montant n'était pas conforme à la réalité. D______ n'est pas tenu, selon le CO, d'établir une comptabilité ; elle l'a fait sur une base volontaire. Si l'on suit l'avis doctrinal cité supra, une telle comptabilité ne saurait constituer un titre. De plus, il est vrai que D______ soumet annuellement sa comptabilité à un réviseur, mais pour un contrôle restreint, se concentrant davantage sur les contributions et frais des États membres. Le rapport H______ soulève une réelle problématique au niveau de la documentation comptable : la comptabilité est établie de manière lacunaire, de nombreux justificatifs sont manquants. On ne saurait ainsi affirmer que D______ tient une comptabilité exhaustive permettant de donner une image globale exacte de sa situation économique. La comptabilité de D______ ne pouvant être considérée comme un titre, aucune infraction de faux dans les titres ne saurait être retenue à l'encontre de l'appelante, qui sera ainsi acquittée de cette infraction. Le jugement entrepris sera réformé en ce sens. 3.5.1.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ATF 116 IV 205 consid. 2 et 103 IV 161 consid. 2). Ainsi, le fait d'accuser une personne d'avoir commis un crime ou un délit intentionnel entre dans les prévisions de l'art. 173 ch. 1 CP (ATF 132 IV 112 consid. 2.2 ; 118 IV 248 consid. 2b ; arrêt du Tribunal fédéral 6B_138/2008 du 22 janvier 2009 consid. 3.1). Du point de vue subjectif, l'art. 173 ch. 1 CP exige que l'auteur ait eu conscience du caractère attentatoire à l'honneur de ses propos et qu'il les a néanmoins proférés (ATF 137 IV 313 consid. 2.1.6). L'inculpé n'encourra aucune peine s'il prouve que les allégations qu'il a articulées ou propagées sont conformes à la vérité ou qu'il avait des raisons sérieuses de les tenir de bonne foi pour vraies (art. 173 ch. 2 CP). L'inculpé qui a allégué la commission d'une infraction doit en principe apporter la preuve de la vérité par la condamnation pénale de la personne visée (ATF 132 IV 112 consid. 4.2). L'inculpé ne sera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jurisprudence et la doctrine interprètent de manière restrictive ces conditions.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3.5.2. L'art. 176 CP précise qu'à la diffamation verbale est assimilée la diffamation par l’écriture, l’image, le geste, ou par tout autre moyen. 3.5.3. En l'espèce, le contenu du courriel adressé par l'appelante le 22 juillet 2021 à la Mission permanente de la République de J______ auprès de l’Office des Nations Unies et des autres organisations internationales à Genève ainsi qu'à d'autres représentations diplomatiques est conforme à la vérité, en ce sens que A______ a effectivement déposé plainte pénale le 3 mai 2021 à l'encontre de D______ et de C______ pour diffamation. Là n'est toutefois pas la question. Cette diffusion fait porter un soupçon selon lequel C______ aurait commis une infraction pénale, soit une diffamation. En d'autres termes, l'appelante laisse entendre, à l'attention de tiers, qu'il serait un délinquant (art. 10 al. 3 CP), ce qui est propre à porter atteinte à sa considération. À tout le moins a-t-elle accepté le caractère attentatoire à l'honneur de sa communication en la proférant ‑ le dol éventuel suffit. Les conditions d'application de l'art. 173 ch. 1 CP sont ainsi réalisées. L'appelante doit se voir refuser la preuve libératoire. Vu les considérants du présent arrêt, elle savait pertinemment qu'elle avait abusé de la confiance de D______ en puisant dans la petite caisse et, partant, que C______ ne la diffamait pas en le prétendant. Elle a donc tenu les propos incriminés non seulement sans motif suffisant, mais encore dans le but, manifestement, de dire du mal de lui. Dût-on en douter qu'elle serait dans l'impossibilité de produire un jugement condamnant C______ du chef de diffamation. La calomnie (art. 174 CP) n'entre pas en considération (art. 9 al. 1 et 391 al 2 CPP). A______ sera dès lors reconnue coupable de diffamation (art. 173 ch. 1 et 3 CP).</w:t>
      </w:r>
    </w:p>
    <w:p>
      <w:r>
        <w:rPr>
          <w:b/>
        </w:rPr>
        <w:t>E. 4</w:t>
      </w:r>
    </w:p>
    <w:p>
      <w:r>
        <w:t>L'infraction d'abus de confiance est punie d'une peine privative de liberté de cinq ans au plus ou d'une peine pécuniaire. Celle de diffamation l'est d'une peine pécuniaire. 4.1.1.1. La réforme du droit des sanctions entrée en vigueur le 1 er janvier 2018 marque, globalement, un durcissement du droit des sanctions (Message relatif à la modification du code pénal et du code pénal militaire du 4 avril 2012, FF 2012 4385 ss ; M. DUPUIS/ L. MOREILLON/ C. PIGUET/ S. BERGER/ M. MAZOU/ V. RODIGARI [éds], op. cit., Rem. prél. ad art. 34 à 41, n. 2 ss).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L. MOREILLON [éds], Code pénal I : art. 1-100 CP, Bâle 2009, n. 19 ad art. 2 ; dans le même sens, M. NIGGLI/ H. WIPRÄCHTIGER, Basler Kommentar Strafrecht I : Art. 1-136 StGB, Jugendstrafgesetz, 4ème éd., Bâle 2018, n. 10 ad art. 2). 4.1.1.2. En l'espèce, les faits reprochés à l'appelante sont à la fois antérieurs et postérieurs à l'entrée en vigueur du nouveau droit des sanctions. Toutefois, dans la mesure où les principes régissant la fixation de la peine postulent le prononcé d'une peine d'ensemble, la peine sera fixée selon le nouveau droit.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4.1.3. Selon l'art. 49 al. 1 CP, si, en raison d'un ou de plusieurs actes, l'auteur remplit les conditions de plusieurs peines de même genre, le juge le condamne à la peine de l'infraction la plus grave et l'augmente dans une juste proportion.</w:t>
      </w:r>
    </w:p>
    <w:p>
      <w:r>
        <w:rPr>
          <w:b/>
        </w:rPr>
        <w:t>E. 4.2</w:t>
      </w:r>
    </w:p>
    <w:p>
      <w:r>
        <w:t>En l'espèce, la faute est importante. L'appelante s'en est pris au patrimoine d'autrui, dans le but de se l'approprier, abusant de la confiance qui lui avait été accordée dans le cadre de son emploi. Elle a agi égoïstement, par appât du gain facile. Les sommes prélevées à son profit ne sont certes pas conséquentes mais ses agissements se sont étalés sur une période pénale longue, d'environ trois ans. Seul son licenciement a mis fin à ses agissements. Elle s'en est également prise à l'honneur du plaignant, lui prêtant un comportement pénalement répréhensible. Sa situation personnelle et notamment financière était plutôt bonne au moment des faits, et ne justifie aucunement son comportement. La collaboration de l'appelante a été mauvaise, persistant jusqu'en appel dans ses dénégations. Sa prise de conscience est inexistante ; elle n'a eu cesse de rejeter la faute sur les plaignants, et n'a pas hésité à salir leur réputation pour se soustraire à sa responsabilité. L'appelante n'a pas d'antécédent, facteur neutre sur la fixation de sa peine. La circonstance atténuante du temps écoulé n'est pas réalisée, contrairement à ce qui a été retenu en première instance. Le temps écoulé depuis les infractions d'abus de confiance est certes long, l'activité pénale s'étant étendue de mai 2016 à février 2019 ; le délai légal de prescription de 15 ans n'est néanmoins pas proche au moment de la présente décision. Les infractions les plus graves sont les abus de confiance, en particulier celui du 22 février 2019 portant sur un montant de CHF 883.61, qui emporte une peine pécuniaire de 30 jours-amende. Conformément au principe de l'aggravation, les cinq autres actes d'abus de confiance aggravent cette peine de 100 jours-amende (peine théorique : 30 jours-amende chacun). S'y ajoutent 15 jours-amende (peine théorique de 30 jours-amende) pour sanctionner la diffamation. La peine d'ensemble encourue par l'appelante s'élève donc à 145 jours-amende, ramenée à 90 jours-amende (interdiction de la reformatio in pejus (art. 391 al. 2 CPP)). Le montant du jour-amende arrêté à CHF 30.- l'unité en première instance apparait adéquat, au vu de la situation financière de l'appelante, et sera confirmé. Le principe du sursis est acquis à l'appelante (art. 391 al. 2 CPP). Le jugement sera confirmé sur ce point. Un jour-amende sera toutefois déduit de la peine prononcée afin de tenir compte de la durée de l'audition de l'appelante par la police (art. 51 CP), l'indemnisation financière étant subsidiaire à l'imputation (ATF 141 IV 236 consid. 3.3 ; arrêt du Tribunal fédéral 6B_671/2016 du 17 mai 2017 consid. 1.1).</w:t>
      </w:r>
    </w:p>
    <w:p>
      <w:r>
        <w:rPr>
          <w:b/>
        </w:rPr>
        <w:t>E. 5</w:t>
      </w:r>
    </w:p>
    <w:p>
      <w:r>
        <w:t>5.1.1. Le prévenu supporte les frais de procédure de première instance s'il est condamné (art. 426 al. 1 CPP). 5.1.2. 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(art. 428 al. 3 CPP).</w:t>
      </w:r>
    </w:p>
    <w:p>
      <w:r>
        <w:rPr>
          <w:b/>
        </w:rPr>
        <w:t>E. 5.2</w:t>
      </w:r>
    </w:p>
    <w:p>
      <w:r>
        <w:t>En seconde instance, l'appelante a obtenu partiellement gain de cause, de sorte qu'il apparaît équitable de lui faire supporter la moitié des frais de la procédure d'appel, lesquels comprennent un émolument de CHF 2'000.-, et de laisser le solde restant à la charge de l'État. Les frais de la procédure préliminaire et de première instance seront dès lors mis à sa charge dans la même proportion.</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6.1.2.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6.2</w:t>
      </w:r>
    </w:p>
    <w:p>
      <w:r>
        <w:t>En l'occurrence, l'état de frais déposé par M e B______, défenseur d'office de A______, sera amputé de 2h00 correspondant à l'" Examen du dossier ", " Examen du dossier en vue de déclaration d'appe l" et " Examen du dossier (suite nouveaux éléments) ", prestations incluses dans le forfait pour activités diverses, étant précisé que les " nouveaux éléments " se rapportent au mémoire et pièces déposés par la partie plaignante. En conséquence, l'indemnité de M e B______ sera arrêtée à CHF 2'311.95 correspondant à 9h45 d'activité au tarif de CHF 200.-/heure, plus la majoration forfaitaire de 10% et l'équivalent de la TVA au taux de 7.7% en CHF 131.30 et au taux de 8.1% en CHF 475.65.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