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P/3221/2020 vom 18. Januar 2023</w:t>
      </w:r>
    </w:p>
    <w:p>
      <w:r>
        <w:t>GE Cour de justice, 2023-01-18, FR</w:t>
      </w:r>
    </w:p>
    <w:p>
      <w:r>
        <w:rPr>
          <w:b/>
        </w:rPr>
        <w:t xml:space="preserve">Quelle: </w:t>
      </w:r>
      <w:r>
        <w:t>https://mcp.opencaselaw.ch/entscheid/ge_gerichte_P_3221_2020</w:t>
      </w:r>
    </w:p>
    <w:p>
      <w:r>
        <w:t>FR: GE_GERICHTE P/3221/2020 du 18 janvier 2023</w:t>
      </w:r>
    </w:p>
    <w:p>
      <w:r>
        <w:t>IT: GE_GERICHTE P/3221/2020 del 18 gennaio 2023</w:t>
      </w:r>
    </w:p>
    <w:p>
      <w:pPr>
        <w:pStyle w:val="Heading2"/>
      </w:pPr>
      <w:r>
        <w:t>Regeste</w:t>
      </w:r>
    </w:p>
    <w:p>
      <w:r>
        <w:t>DROIT PÉNAL DES MINEURS;TENTATIVE(DROIT PÉNAL);MEURTRE;PORNOGRAPHIE;DISPOSITIONS PÉNALES DE LA LARM | DPMIN; PPMIN; CP.133; CP.111; CP.22; CP.197; LARM</w:t>
      </w:r>
    </w:p>
    <w:p>
      <w:pPr>
        <w:pStyle w:val="Heading2"/>
      </w:pPr>
      <w:r>
        <w:t>Erwägungen</w:t>
      </w:r>
    </w:p>
    <w:p>
      <w:r>
        <w:rPr>
          <w:b/>
        </w:rPr>
        <w:t>E. 1</w:t>
      </w:r>
    </w:p>
    <w:p>
      <w:r>
        <w:t>L'appel de A______ est recevable pour avoir été interjeté et motivé selon la forme et dans les délais prescrits (art. 398 et 399 du Code de procédure pénale [CPP]). Il en va de même de l'appel joint du MP (art. 400 al. 3 let. b et 401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références).</w:t>
      </w:r>
    </w:p>
    <w:p>
      <w:r>
        <w:rPr>
          <w:b/>
        </w:rPr>
        <w:t>E. 3</w:t>
      </w:r>
    </w:p>
    <w:p>
      <w:r>
        <w:t>3.1.1. L'art. 133 CP réprime le comportement de celui qui aura pris part à une rixe ayant entraîné la mort d'une personne ou une lésion corporelle (al. 1). N'est pas punissable celui qui se sera borné à repousser une attaque, à défendre autrui ou à séparer les combattants (al. 2). La rixe constitue une altercation physique entre au minimum trois protagonistes qui y participent activement, laquelle doit avoir entraîné la mort d'une personne ou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 106 IV 246 consid. 3e ; arrêt du Tribunal fédéral 6B_1154/2014 du 31 mai 2016 consid. 1.1). 3.1.2. À teneur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À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 (cf. ATF 106 IV 246 consid. 3f ; arrêt du Tribunal fédéral 6B_658/2008 du 6 février 2009 consid. 3.1). En effet, de même que dans le cas de la rixe (art. 133 CP), l'infraction est exclue si le rapport de causalité n'est pas suffisamment étroit.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 ATF 135 IV 152 consid. 2.1.1). 3.1.3. S'il peut être établi que l'un des agresseurs, intentionnellement ou par négligence, cause la mort ou les lésions corporelles, l'infraction d'homicide au sens des art. 111ss CP ou de lésions visée par les art. 122ss CP absorbe, en ce qui le concerne, l'agression au sens de l'art. 134 CP (ATF 118 IV 227 consid. 5b ; arrêt du Tribunal fédéral 6P.41/2006 du 12 mai 2006 consid. 7.1.3).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(ATF 135 IV 152 consid. 2.1.2). 3.2.1. 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 133 IV 9 = JdT 2007 I 573 consid. 4.1 ; 131 IV 1 consid. 2.2 ; 130 IV 58 consid. 8.2). Le dol éventuel peut aussi être retenu lorsque l'auteur accepte par indifférence que le danger créé se matérialise ; le dol éventuel implique ainsi l'indifférence de l'auteur quant à la réalisation de l'état de fait incriminé (P. GRAVEN / B. STRÄULI, L'infraction pénale punissable , 2 ème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3.2.2. 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 arrêt du Tribunal fédéral 6B_924/2017 du 14 mars 2018 consid. 1.4.5). Il importe cependant que les coups portés aient objectivement exposé la victime à un risque de mort (arrêt du Tribunal fédéral 6B_86/2019 du 8 février 2019 consid. 2.1 et les références citées). 3.2.3. Selon la jurisprudence, nul n'est censé ignorer qu'un et a fortiori plusieurs coups à la tête avec les pieds ou d'autres objets dangereux, telle qu'une bouteille en verre, est susceptible d'entraîner de graves lésions, en particulier sur le plan neurologique, et même la mort de la victime, risque qui est d'autant plus grand lorsque celle-ci n'est plus en mesure de réagir ou de se défendre, notamment lorsqu'elle se trouve inconsciente, voire simplement au sol (ATF 135 IV 152 consid. 2.3.2.2 ; arrêts du Tribunal fédéral 6B_901/2014 du 27 février 2015 consid. 2.7.3 ; 6B_924/2017 du 14 mars 2018 consid. 1.4.3). En effet, indépendamment du risque de toucher un organe vital, ce type de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Le Tribunal fédéral a notamment jugé que lorsque l'auteur frappe vigoureusement et de manière ciblée sur la tête de la victime avec un marteau, il est légitime de considérer que la survenance de blessures mortelles s'est imposée avec une telle vraisemblance que seule l'acceptation de l'issue fatale pouvait sous-tendre un pareil agissement (arrêt du Tribunal fédéral 6B_823/2010 du 25 janvier 2011 consid. 3.3). 3.2.4. La distinction entre une tentative d'homicide (art. 22 et 111 CP) et des lésions corporelles graves au sens de l'art. 122 CP (réalisées ou tentées) tient essentiellement à l'intention de l'auteur. Si celle-ci englobe, même au titre du dol éventuel, le décès de la victime, les faits doivent être qualifiés de tentative de meurtre. 3.3.1. En l'espèce, encore en appel, l'appelant nie les faits qui lui sont reprochés et soutient avoir, tout au plus, été impliqué dans une bagarre de type générale, opposant deux camps dont les membres s'affrontaient et lors de laquelle il n'a fait que repousser un assaillant qui l'avait poussé. La CPAR tient néanmoins pour établi le déroulement des faits tels qu'ils ressortent de l'acte d'accusation et du jugement querellé, pour les raisons qui suivent. La crédibilité de l'appelant peut être qualifiée de particulièrement faible. Dès le début de la procédure, il s'est montré approximatif dans ses déclarations, mentionnant tout d'abord une attaque de la part des jeunes des G______, et niant tout lien avec la première partie de soirée à S______. Il semble aujourd'hui admettre ce lien mais se départir totalement de sa responsabilité, prétextant n'avoir même pas compris la raison du déplacement de tout son groupe vers les G______, puis n'avoir fait que se défendre en repoussant un jeune. Or, l'appelant, après la bagarre "un contre un" à S______ qui a opposé son frère T______ à D______, a parlé avec ses cousins K______ et L______ de ce qui venait de se passer. Le fruit de cette discussion a abouti au fait que de nombreux jeunes du J______ se sont rendus aux G______ pour en découdre. L'appelant et les autres membres de sa famille étaient mus par un dessein de réparation de leur honneur, sinon de vengeance du fait que T______ avait perdu la face dans la bagarre qui l'avait opposé à D______, comme cela ressort des déclarations de plusieurs protagonistes, tant du côté du J______ (ie. K______, AV______, O______, BD______) que des G______ (ie. U______, E______, D______, F______), mais aussi du contact pris par K______ avec l'autre bande via U______. On discerne d'ailleurs mal quelle autre raison ils auraient eu pour se rendre en nombre aux G______ à cette heure tardive pour chercher la confrontation avec la bande des G______, en particulier avec celui qui s'en était pris à T______. Sur le chemin – que cela soit sur un chantier au AC______ ou proche du lieu de l'affrontement – de nombreux protagonistes se sont armés, en particulier l'appelant qui s'est muni d'un poteau métallique de chantier, du type de celui qui a été saisi sur leur chemin de fuite, comme cela ressort des déclarations notamment de AZ______. Arrivés à l'arrêt de tram, face à la bande des G______, moins nombreuse et à mains nues (des barres de fer ayant été cachées plus loin et seul E______ était possiblement en possession d'un spray au poivre qu'il n'a pas eu le temps d'utiliser), l'appelant se trouvait en première ligne, en compagnie de K______, L______ et N______. D______, qui venait à la discussion, a alors été directement attaqué par des coups de couteau de K______, puis a été très violemment frappé à l'aide d'une barre de fer sur la tête, ce qui l'a immédiatement fait chuter au sol et perdre connaissance. Dans le même temps, F______ a été pris à partie, notamment par L______ muni d'une bouteille en verre, et s'est retrouvé au sol, avec une plaie importante à la tête, avant d'être roué de coups. E______, qui voulait éviter que les jeunes du J______ ne s'acharnent encore plus sur son ami D______, a été poursuivi par K______, N______ et M______, avant de recevoir plusieurs coups de couteau de la part du premier, des coups de barre de fer de la part du deuxième et des coups de pieds du troisième. Les jeunes du J______ ont ensuite pris la fuite, aucun d'eux n'ayant subi de blessures nécessitant une prise en charge médicale. 3.3.2. Ces faits doivent être qualifiés d'agression. Si le déplacement des protagonistes aux G______ aurait effectivement pu, dans l'idée des deux camps, mener à une rixe lors de laquelle se seraient affrontées les bandes rivales, il appert que, dans les faits, il s'est soldé par une attaque unilatérale venant de la bande du J______, sans qu'il n'y ait le moindre affrontement réciproque. La bande des G______ n'avait pas d'armes. Si ses membres avaient préparé des objets un peu plus loin, ils n'ont jamais eu le temps d'aller les chercher et encore moins de les utiliser. La bande du J______ est arrivée, plus nombreuse et armée, et, après de très courts échanges verbaux, a directement déclenché les hostilités par des coups de couteau et un coup de barre de fer sur D______ et des coups de bouteilles sur F______. Suite à cela, le solde des membres de la bande des G______ a battu en retraite, sans réaction autre que défensive, E______ ayant été poursuivi par trois personnes, frappé et poignardé. Les lésions corporelles causées aux victimes ont été gravissimes. L'absence de blessure majeure du côté des jeunes du J______ n'est pas seulement l'illustration du fait qu'ils ont pris le dessus dans la bagarre, mais est bien due à la façon dont cette attaque a été menée, soit de manière unilatérale. L'appelant a participé activement et intentionnellement à cette agression. Il était placé en première ligne, aux côtés de ses cousins K______ et L______ ainsi que de N______, et était muni d'une barre de fer, dans le but de venger son grand frère. La qualification juridique retenue sera ainsi confirmée. 3.3.3. La CPAR a acquis la conviction, à l'instar des premiers juges, que le coup violent reçu par D______ à la tête a été porté par l'appelant, les arguments avancés en appel n'étant pas de nature à la renverser. En effet, l'alternative alléguée, indirectement par l'appelant mais directement par son conseil, selon laquelle ce serait N______ qui aurait porté ce coup à D______, n'est pas corroborée par le dossier. L'appelant se raccroche premièrement aux ouï-dires rapportés par D______, alors que celui-ci présente une amnésie en raison du coup qu'il a reçu, mais aussi par la mère de E______, alors que celle-ci ne se rappelle plus de qui elle tiendrait cette information, ce qui n'est clairement pas un élément probant. Il fait également grand cas du témoignage de W______, qui a pourtant énormément varié dans ses déclarations, énonçant même des choses que l'on sait incorrectes (notamment la présence de T______ aux G______) et a été décrit par les victimes elles-mêmes comme étant particulièrement alcoolisé au moment des faits et ne devant pas être suivi. Quant aux témoins extérieurs de l'altercation (les témoins AL______, AM______, AN______ et AO______), ils n'ont pu voir et n'ont vu qu'une seule barre de fer, dans la mesure où ils n'ont assisté qu'à la prise à partie de E______, qui s'est déroulée un peu plus loin en direction de la passerelle des G______ et non directement à l'arrêt de tram. Aucun de ces témoins n'a vu le coup porté à D______, ni n'a expliqué avoir vu ce qui s'était passé à l'arrêt de tram. Cela exclut qu'ils puissent se prononcer sur la présence ou non d'une autre barre de fer à cet endroit. L'appelant fonde également son hypothèse sur l'expertise morphométrique qui démontrerait, selon lui, que la barre de fer saisie par la police et contenant l'ADN de N______ serait celle qui aurait servi à porter le coup à D______. Or, la mission d'expertise impartie visait uniquement à se prononcer sur la compatibilité entre la blessure infligée et l'objet contondant qui avait été retrouvé sur le chemin de fuite. Seul ce poteau-là a été soumis aux experts et il ne leur a pas été demandé de tester l'hypothèse d'un poteau similaire ou d'exclure l'utilisation d'un autre poteau de chantier. Ainsi, le résultat de cette expertise ne signifie pas, d'une part, qu'un autre poteau de chantier, avec un crochet présentant une torsion similaire ou non, n'aurait pas pu causer une telle blessure, d'autre part, que c'est exclusivement le poteau saisi qui est à l'origine de la blessure. D'ailleurs, l'absence d'ADN de D______ sur la barre de fer saisie soutient très fortement l'hypothèse qu'il ne s'agit pas de l'objet qui lui a causé une fracture embarrée du crâne. Il est ainsi évident que l'appelant était en possession d'une autre barre de fer, laquelle n'a pas été retrouvée. Finalement, la position de l'appelant va à l'encontre des déclarations de l'ensemble des autres jeunes de sa propre bande. Alors que AZ______ et BA______ ont mentionné le nom de l'appelant comme étant l'auteur du coup de barre de fer dès le 17 juin 2020, les autres langues se sont déliées au fur et à mesure de la procédure (cf. AV______ le 24 juin 2020 ; BD______ le 23 juin 2020 décrivant deux jeunes avec des barres de fer ; K______ le 2 décembre 2020, qui a dit uniquement que l'appelant tenait bien une barre de fer). C'est seulement lors des auditions des 25 avril et 8 juin 2021 que ceux qui refusaient encore de donner des noms, par sens de l'honneur ou par peur de représailles, ont, plus ou moins directement, mis l'appelant en cause. O______ et BF______ ont clairement désigné l'appelant comme l'auteur du coup de barre de fer, alors que M______ l'a seulement laissé entendre. N______, qui a admis avoir usé d'une barre de fer sur E______, a tout d'abord expliqué qu'il estimait que celui qui avait donné le coup devait assumer ses actes, puis a soutenu le 10 mars 2022 que c'était l'appelant qui en était l'auteur. La suite des événements donne du crédit à cette version, puisque AZ______, BA______ et M______ ont placé l'appelant, après leur fuite, au Parc BE______ où M______ s'était fâché contre l'appelant en raison de ce qu'il avait fait. De plus, à la suite de l'instruction, l'appelant a été mis à ban par les membres de la bande du J______, y compris par ses propres cousins, qui lui ont reproché de ne pas avoir assumé ses actes, alors que K______, L______ et N______ avaient endossé les leurs. 3.3.5. Le coup porté par l'appelant au moyen d'une barre de fer de chantier à la tête de D______ a causé une plaie au niveau du cuir chevelu associée à une fracture enfoncée avec un hématome épidural et une hémorragie sous-arachnoïdienne punctiforme en regard ainsi qu'une infiltration des tissus mous, un emphysème des tissus mous et un hématome épicrânien. Le seul fait que ce coup a été propre à fracturer une boîte crânienne montre déjà la force avec laquelle il a été porté. À noter également que les jeunes, des deux côtés, se sont dit choqués par la violence du coup et le fait que D______ était tombé " comme mort ". En assénant un tel coup ciblé à la tête, au moyen d'une barre de fer, l'appelant ne pouvait qu'envisager de causer la mort de l'intéressé et accepter un tel risque. L'appelant a d'ailleurs quitté les lieux alors que D______ gisait inconscient au sol, ce qui constitue un indice qu'il n'a pu qu'accepter les conséquences potentiellement mortelles de son acte. Un tel résultat ne s'est heureusement pas produit, grâce à la rapidité des secours et à l'efficacité de la prise en charge médicale. Ces faits sont partant constitutifs de tentative de meurtre au sens de l'art. 111 cum 22 CP et le jugement querellé sera confirmé sur ce point également.</w:t>
      </w:r>
    </w:p>
    <w:p>
      <w:r>
        <w:rPr>
          <w:b/>
        </w:rPr>
        <w:t>E. 4</w:t>
      </w:r>
    </w:p>
    <w:p>
      <w:r>
        <w:t>4.1. L'art. 197 al. 4 CP prévoit que quiconque fabrique, importe, prend en dépôt, met en circulation, promeut, expose, offre, montre, rend accessible, met à disposition, acquiert, obtient par voie électronique ou d'une autre manière ou possède des objets ou représentations pornographiques, ayant comme contenu des actes d'ordre sexuel avec des animaux, des actes de violence entre adultes ou des actes d'ordre sexuel non effectifs avec des mineurs, est punissable. Si les objets ou représentations ont pour contenu des actes d'ordre sexuel effectifs avec des mineurs, la sanction est aggravée. L'art. 197 al. 5 CP punit en revanche quiconque consomme ou, pour sa propre consommation, fabrique, importe, prend en dépôt, acquiert, obtient par voie électronique ou d'une autre manière ou possède de tels objets ou représentations. Le critère de distinction entre les alinéas 4 et 5 est le dessein de diffusion. Ainsi, les mêmes comportements tombent sous le coup de l'alinéa 5 (cas atténué) s'ils sont commis aux fins de consommation propre, ou de l'alinéa 4 dans les autres cas. En application du principe in dubio pro reo , il faudra retenir le cas atténué toutes les fois que le dessein de diffusion ne pourra être établi (A. MACALUSO / L. MOREILLON / N. QUELOZ [éds], Commentaire romand, Code pénal II , 2ème éd., Bâle 2017, n. 66 ad art. 197).</w:t>
      </w:r>
    </w:p>
    <w:p>
      <w:r>
        <w:rPr>
          <w:b/>
        </w:rPr>
        <w:t>E. 4.2</w:t>
      </w:r>
    </w:p>
    <w:p>
      <w:r>
        <w:t>Bien que ce grief n'a pas été soulevé, il sera retenu, en faveur de l'appelant (cf. art. 404 al. 2 CPP), que celui-ci n'avait aucun dessein de diffuser la vidéo qui a été retrouvée sur son téléphone portable. Il est établi que l'appelant a reçu cette vidéo, puis l'a conservée dans son téléphone, même s'il indique qu'il pensait l'avoir effacée. Alors qu'il a expliqué ne pas avoir eu l'intention de la faire circuler, rien ne permet d'étayer le contraire. Il doit ainsi être retenu qu'il a agi pour sa propre consommation et non dans un dessein de diffusion, étant par ailleurs relevé qu'un tel dessein n'est pas visé par l'acte d'accusation. Dans ces circonstances, seul le cas atténué de l'art. 197 al. 5 CP entre en considération. La condamnation de l'appelant pour infraction à l'art. 197 al. 4 et 5 CP sera par conséquent annulée, en faveur du seul al. 5 de cet article.</w:t>
      </w:r>
    </w:p>
    <w:p>
      <w:r>
        <w:rPr>
          <w:b/>
        </w:rPr>
        <w:t>E. 5</w:t>
      </w:r>
    </w:p>
    <w:p>
      <w:r>
        <w:t>5.1.1. L'art. 33 al. 1 let. a LArm sanctionne quiconque, intentionnellement et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Selon l'art. 4 al. 1 let. g LArm, on entend par armes, les armes factices, les armes d'alarme et les armes soft air lorsqu'elles peuvent être confondues avec de véritables armes à feu du fait de leur apparence. 5.1.2. À teneur de l'art. 6 de l'Ordonnance sur les armes, les accessoires d'armes et les munitions (OArm), les armes à air comprimé, les armes au CO2, les armes factices, les armes d'alarme et les armes soft air sont susceptibles d'être confondues avec des armes à feu si, à première vue, elles ressemblent à de véritables armes à feu, qu'un spécialiste ou toute autre personne soit en mesure de lever la confusion après un rapide examen ou non.</w:t>
      </w:r>
    </w:p>
    <w:p>
      <w:r>
        <w:rPr>
          <w:b/>
        </w:rPr>
        <w:t>E. 5.2</w:t>
      </w:r>
    </w:p>
    <w:p>
      <w:r>
        <w:t>En l'espèce, il est patent que l'arme dont l'appelant était en possession était un pistolet à billes et non une véritable arme de poing. Les caractéristiques que lui prête l'appelant, soit une apparence évidente de jouet, entièrement en plastique noir avec un bout du canon en plastique orange, ne sont absolument pas confirmées par les photographies au dossier. Au contraire, le pistolet saisi au domicile de l'appelant pouvait clairement être confondu, à première vue, avec une vraie arme du fait de son apparence, celui-ci se présentant comme une réplique d'une arme véritable. Cet objet entre ainsi dans la définition d'arme au sens de la loi. Sur le plan subjectif, il doit être relevé que l'appelant a admis qu'il avait pensé le ramener à la police, avec l'aide de son beau-père, ce qui démontre bien qu'il était conscient que la possession d'un tel pistolet pouvait poser problème d'un point de vue légal, mais qu'il l'a conservé néanmoins. La condamnation de l'appelant du chef d'infraction à l'art. 33 al. 1 let. a LArm sera dès lors confirmée.</w:t>
      </w:r>
    </w:p>
    <w:p>
      <w:r>
        <w:rPr>
          <w:b/>
        </w:rPr>
        <w:t>E. 6</w:t>
      </w:r>
    </w:p>
    <w:p>
      <w:r>
        <w:t>6.1.1. Selon l'art. 47 CP, applicable par renvoi de l'art. 1 al. 2 de la loi fédérale régissant la condition pénale des mineurs (Droit pénal des mineurs, DPMin),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6.1.2. Si le mineur est jugé simultanément pour plusieurs actes punissables, l'autorité de jugement peut soit cumuler les peines en application de l'art. 33 DPMin, soit fixer une peine d'ensemble en augmentant dans une juste proportion la peine la plus grave lorsque le mineur remplit les conditions de plusieurs peines de même genre (art. 34 al. 1 DPMin). 6.1.3. Le droit pénal des mineurs prévoit plusieurs types de sanctions (art. 22 à 25 DPMin) qui ne servent pas à punir mais poursuivent le but de détourner les mineurs condamnés de la commission de nouvelles infractions au sens de la prévention spéciale. Ainsi, l'art. 2 al. 1 DPMin prévoit que la protection et l'éducation du mineur sont déterminantes dans l'application du droit pénal des mineurs. L'art. 2 al. 2 DPMin dispose qu'une attention particulière doit être vouée aux conditions de vie et à l'environnement familial du mineur, ainsi qu'au développement de sa personnalité. Il en résulte que le choix de la sanction ne s'opère pas selon les mêmes critères dans le droit pénal des mineurs que dans le droit pénal des adultes. Les infractions commises ne doivent pas être comprises comme des violations de la paix sociale qui appellent une sanction réparatrice ou de rétorsion, mais comme des indices possibles d'un mauvais développement qu'il s'agit de rattraper. Ce qui apparaît dans un cas individuel comme important et opportun d'un point de vue éducatif se détermine d'après la structure de la personnalité du délinquant et d'après son "état d'éducation" (ATF 137 IV 7 consid. 1.3 = JdT 2011 IV 350 ; arrêt du Tribunal fédéral 6B_232/2010 du 20 mai 2010 consid. 3.3). 6.1.4. À teneur de l'art. 25 al. 1 DPMin, est passible d'une privation de liberté d'un jour à un an le mineur qui a commis un crime ou un délit s'il avait quinze ans le jour où il l'a commis. En vertu de l'art. 25 al. 2 let. a DPMin, est en revanche passible d'une privation de liberté de quatre ans au plus, le mineur qui avait seize ans le jour de l'infraction et qui a commis un crime pour lequel le droit applicable aux adultes prévoit une peine privative de liberté de trois ans au moins. 6.1.5. Le meurtre au sens de l'art. 111 CP est passible d'une peine privative de liberté de cinq ans au moins. Il s'agit en l'espèce de l'infraction la plus grave de celles reprochées à l'appelant, et la peine pour celle-ci servira de peine de base. 6.1.6. Selon l'art. 22 al. 1 CP (applicable par renvoi de l'art. 1 al. 2 let. a DPMin), le juge peut atténuer la peine si l'exécution d'un crime ou d'un délit n'est pas poursuivie jusqu'à son terme ou que le résultat nécessaire à la consommation de l'infraction ne se produit pas ou ne pouvait pas se produire. Cette atténuation est facultative. Sa mesure, si elle est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6.1.7. À teneur de l'art. 35 DPMin, l'autorité de jugement suspend totalement ou partiellement l'exécution d'une amende, d'une prestation personnelle ou d'une privation de liberté de 30 mois au plus lorsqu'une peine ferme ne paraît pas nécessaire pour détourner le mineur d'autres crimes ou délits. Selon l'art. 29 al. 2 DPMin, applicable par renvoi de l'article 35 alinéa 2 DPMin, l'autorité fixe un délai d'épreuve égal à la durée du solde de la peine, étant précisé que ce délai est de six mois au moins et de deux ans au plus. 6.1.8. En l'espèce, la faute de l'appelant est très lourde. Il s'en est pris à divers biens juridiques avec une aggravation dans le temps jusqu'au 23 mai 2020. Ce jour-là, il a, pour des motifs d'honneur bafoué, de punition, sinon de vengeance, pris le risque de tuer un jeune homme, alors que d'autres ont été agressés et sérieusement blessés. Le fait que l'infraction n'en soit restée qu'au stade de la tentative n'est due qu'à la prise en charge rapide des secours, alors que l'appelant ne s'est pas inquiété de l'état de sa victime en quittant les lieux. Avant ces faits, il était déjà sur une pente glissante, confronté à la justice des mineurs suite à la commission d'infractions, toutefois de moindre gravité. Son comportement extrêmement violent pour des motifs parfaitement futiles est hautement répréhensible. Il n'a fait preuve d'aucune collaboration dans le cadre de l'établissement des faits, niant la quasi-intégralité de ceux-ci. Encore en appel, il a expliqué qu'il ne se sentait en rien responsable de ce qui s'était passé le 23 mai 2020, et qu'il n'avait même pas compris qu'il s'agissait de se rendre aux G______ pour se battre. À propos de l'arme factice retrouvée chez lui, il a persisté à nier face aux photographies qui lui ont été présentées. Sa prise de conscience est nulle, alors qu'il est désormais majeur, la CPAR a été frappée par son manque d'introspection et le fait qu'il n'a montré aucune empathie envers les victimes. L'attitude de l'appelant est choquante. Il y a concours d'infractions, l'infraction la plus grave ayant été commise alors que l'appelant avait déjà seize ans, ce qui l'expose à une peine allant jusqu'à quatre ans de privation de liberté. Sa situation personnelle doit être prise en compte à sa décharge. En effet, l'appelant s'est retrouvé déraciné à Genève, un peu plus de deux ans avant les faits les plus graves, après avoir passé toute son enfance loin au Nicaragua auprès de différents membres de sa famille. Il est arrivé auprès de sa mère, mais dans un foyer problématique. L'appelant n'a toutefois pas su saisir les opportunités offertes d'améliorer sa situation, dans la mesure où il n'a pas donné suite à la mise en place d'une curatelle, qui n'a ainsi pas pu prendre effet, alors que l'assistance personnelle dont il a bénéficié lui aurait, à terme, permis d'entrer en formation à l'école BM______, projet qu'il a abandonné car il a simplement été découragé par le test d'entrée. Nonobstant l'extrême gravité des faits, la CPAR estime qu'il n'y a pas de motifs justifiant d'alourdir la sanction de 18 mois de privation de liberté prononcée en première instance. La justice des mineurs nécessitant de mettre en avant la protection et l'éducation et non à viser une sanction réparatrice ou de rétorsion. L'appelant a su maintenir une bonne conduite depuis l'ouverture de la procédure pénale, malgré le fait qu'il semble se retrouver aujourd'hui dans le désœuvrement, sans formation ni recherche d'emploi en vue. Aujourd'hui majeur, la CPAR espère néanmoins qu'il saura mettre en place la volonté formulée de s'en sortir à l'avenir, à commencer par l'obtention d'un permis de séjour qui devrait lui permettre d'ouvrir des portes. De manière à ne pas anéantir toutes ses chances et à lui faire passer un message encourageant pour l'avenir, la peine prononcée de 18 mois de privation de liberté apparaît comme étant la peine adéquate. Le jugement querellé sera par conséquent confirmé sur ce point, ce qui conduit au rejet de l'appel joint du MP. Le sursis est acquis à l'appelant, le pronostic n'apparaissant pas défavorable et le MP ne s'y étant pas opposé. La durée du délai d'épreuve sera néanmoins modifiée en faveur de l'appelant afin de satisfaire à l'art. 29 al. 2 DPMin, passant à une durée de 18 mois au lieu des deux ans prononcés initialement.</w:t>
      </w:r>
    </w:p>
    <w:p>
      <w:r>
        <w:rPr>
          <w:b/>
        </w:rPr>
        <w:t>E. 7</w:t>
      </w:r>
    </w:p>
    <w:p>
      <w:r>
        <w:t>7.1. Les conclusions civiles des parties plaignantes n'ont été contestées par l'appelant que dans la mesure des acquittements et requalification demandés. Au vu de l'issue du présent arrêt, les conclusions civiles octroyées par le Tribunal des mineurs, auxquelles A______ doit être condamné, seront confirmées. 7.2.1. Les conclusions civiles de l'intimé D______, visant son tort moral, ses frais médicaux et ses frais d'avocat pour la procédure préliminaire et de première instance, sont irrecevables en tant qu'elles excèdent les montants alloués par les premiers juges, faute d'appel de sa part. Il sera en revanche statué sur ses conclusions en indemnité pour les dépenses occasionnées par la procédure d'appel au sens de l'art. 433 CPP, dans la mesure où l'intimé D______ obtient gain de cause. 7.2.2. 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7.2.3. En l'espèce, l'intimé D______ conclut à une indemnité de CHF 585.20 correspondant à une heure et 20 minutes d'activité de la part du chef d'étude et cinq minutes d'activité du stagiaire. Dans la mesure où la seule écriture utile, soit le mémoire de réponse du 21 décembre 2022, contient trois conclusions irrecevables, seule la moitié de ses conclusions lui sera octroyée.</w:t>
      </w:r>
    </w:p>
    <w:p>
      <w:r>
        <w:rPr>
          <w:b/>
        </w:rPr>
        <w:t>E. 8</w:t>
      </w:r>
    </w:p>
    <w:p>
      <w:r>
        <w:t>Vu l'issue de la procédure, tant l'appel principal que l'appel joint du MP étant rejetés, l'appelant principal devra supporter 80% des frais de la procédure d'appel, le solde étant laissé à la charge de l'État (art. 428 CPP). L'émolument de jugement sera toutefois réduit à CHF 1'500.- afin de tenir compte de sa situation personnelle (art. 425 et 428 CPP ; art. 44 al. 2 PPMin). L'exemption des frais de la procédure de première instance, acquise à l'appelant, est confirmée.</w:t>
      </w:r>
    </w:p>
    <w:p>
      <w:r>
        <w:rPr>
          <w:b/>
        </w:rPr>
        <w:t>E. 9</w:t>
      </w:r>
    </w:p>
    <w:p>
      <w:r>
        <w:t>Considéré globalement, l'état de frais produit par M e C______, défenseur d'office de A______, satisfait les exigences légales et jurisprudentielles régissant l'assistance judiciaire gratuite en matière pénale. La rémunération de M e C______ pour la procédure d'appel sera partant arrêtée à CHF 4'541.35 correspondant à 19 heures et dix minutes d'activité au tarif de CHF 200.-/heure plus la majoration forfaitaire de 10% (vu le total des heures décomptées depuis l'ouverture de la procédure) et l'équivalent de la TVA au taux de 7.7% en CHF 324.68.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