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P/3210/2018 vom 19. März 2019</w:t>
      </w:r>
    </w:p>
    <w:p>
      <w:r>
        <w:t>GE Cour de justice, 2019-03-19, FR</w:t>
      </w:r>
    </w:p>
    <w:p>
      <w:r>
        <w:rPr>
          <w:b/>
        </w:rPr>
        <w:t xml:space="preserve">Quelle: </w:t>
      </w:r>
      <w:r>
        <w:t>https://mcp.opencaselaw.ch/entscheid/ge_gerichte_P_3210_2018</w:t>
      </w:r>
    </w:p>
    <w:p>
      <w:r>
        <w:t>FR: GE_GERICHTE P/3210/2018 du 19 mars 2019</w:t>
      </w:r>
    </w:p>
    <w:p>
      <w:r>
        <w:t>IT: GE_GERICHTE P/3210/2018 del 19 marzo 2019</w:t>
      </w:r>
    </w:p>
    <w:p>
      <w:pPr>
        <w:pStyle w:val="Heading2"/>
      </w:pPr>
      <w:r>
        <w:t>Regeste</w:t>
      </w:r>
    </w:p>
    <w:p>
      <w:r>
        <w:t>CONTRAVENTION | LCR.90; LCR.92</w:t>
      </w:r>
    </w:p>
    <w:p>
      <w:pPr>
        <w:pStyle w:val="Heading2"/>
      </w:pPr>
      <w:r>
        <w:t>Erwägungen</w:t>
      </w:r>
    </w:p>
    <w:p>
      <w:r>
        <w:rPr>
          <w:b/>
        </w:rPr>
        <w:t>E. 1</w:t>
      </w:r>
    </w:p>
    <w:p>
      <w:r>
        <w:t>L'appel est recevable pour avoir été interjeté (s) et motivé (s)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Dans sa déclaration d'appel initiale, l'appelant semble contester le jugement entrepris dans son intégralité; dans sa seconde écriture, il semble ne contester que la peine. La portée de l'appel est peu claire; en présence d'un appelant en personne, il convient d'interpréter largement la déclaration et le mémoire d'appel, et de considérer que le second ne restreint pas le premier.</w:t>
      </w:r>
    </w:p>
    <w:p>
      <w:r>
        <w:rPr>
          <w:b/>
        </w:rPr>
        <w:t>E. 3.1</w:t>
      </w:r>
    </w:p>
    <w:p>
      <w:r>
        <w:t>L'art. 90 de la loi fédérale sur la circulation routière du 19 décembre 1958 (LCR ; RS 741.01) constitue la base légale pour réprimer les violations de règles de la circulation.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L'art. 90 al. 1 prévoit une peine d'amende pour les violations dites simples des règles de circulation.</w:t>
      </w:r>
    </w:p>
    <w:p>
      <w:r>
        <w:rPr>
          <w:b/>
        </w:rPr>
        <w:t>E. 3.2</w:t>
      </w:r>
    </w:p>
    <w:p>
      <w:r>
        <w:t>Selon l'art. 26 ch.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ch. 2 LCR).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w:t>
      </w:r>
    </w:p>
    <w:p>
      <w:r>
        <w:rPr>
          <w:b/>
        </w:rPr>
        <w:t>E. 3.3</w:t>
      </w:r>
    </w:p>
    <w:p>
      <w:r>
        <w:t>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p. 254 ; arrêt du Tribunal fédéral 6B_959/2016 du</w:t>
      </w:r>
    </w:p>
    <w:p>
      <w:r>
        <w:rPr>
          <w:b/>
        </w:rPr>
        <w:t>E. 3.4</w:t>
      </w:r>
    </w:p>
    <w:p>
      <w:r>
        <w:t>L'art. 27 al. 1 de la loi fédérale du 19 décembre 1958 sur la circulation routière (LCR ; RS 741.01) impose aux usagers de la route de se conformer aux signes et aux marques. Ceux-ci ne sont obligatoires que s'ils sont clairs et que leur portée est aisément reconnaissable (ATF 127 IV 229 consid. 2c.aa p. 232 ; 106 IV 138 consid. 3 p. 140). Le Conseil fédéral, faisant usage de la compétence déléguée par l'art. 57 LCR, a fixé un certain nombre de marques et signaux applicables à la circulation routière dans l'ordonnance sur la signalisation routière (OSR, RS 741.21), et dans son annexe qui illustre ces différents marques et signaux.</w:t>
      </w:r>
    </w:p>
    <w:p>
      <w:r>
        <w:rPr>
          <w:b/>
        </w:rPr>
        <w:t>E. 3.5</w:t>
      </w:r>
    </w:p>
    <w:p>
      <w:r>
        <w:t>Selon l'art. 32 ch. 1 LCR, la vitesse doit toujours être adaptée aux circonstances, notamment aux particularités du véhicule et du chargement, ainsi qu'aux conditions de la route, de la circulation et de la visibilité.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L'art. 4 al. 1 de l'ordonnance du 13 novembre 1962 sur les règles de la circulation routière (OCR ; RS 741.11) précise notamment que le conducteur ne doit pas circuler à une vitesse qui l'empêcherait de s'arrêter sur la distance à laquelle porte sa visibilité.</w:t>
      </w:r>
    </w:p>
    <w:p>
      <w:r>
        <w:rPr>
          <w:b/>
        </w:rPr>
        <w:t>E. 3.6</w:t>
      </w:r>
    </w:p>
    <w:p>
      <w:r>
        <w:t>L'art. 43 LCR précise que les véhicules automobiles et les cycles n'emprunteront pas les chemins qui ne se prêtent pas ou ne sont manifestement pas destinés à leur circulation, par exemple les chemins réservés aux piétons ou au tourisme pédestre (al. 1), que le trottoir est réservé aux piétons, la piste cyclable aux cyclistes (al. 2), le Conseil fédéral pouvant prévoir des exceptions.</w:t>
      </w:r>
    </w:p>
    <w:p>
      <w:r>
        <w:rPr>
          <w:b/>
        </w:rPr>
        <w:t>E. 3.7</w:t>
      </w:r>
    </w:p>
    <w:p>
      <w:r>
        <w:t>L'art. 92 al. 1 LCR dispose que celui qui, lors d'un accident, aura violé les devoirs que lui impose la loi sur la circulation routière sera puni de l'amende. L'art. 51 al. 1 LCR fait obligation aux personnes impliquées dans un accident de s'arrêter immédiatement (1 ère phrase); ces dernières sont tenues d'assurer, dans la mesure du possible, la sécurité de la circulation (2 ème phrase). L'obligation de s'arrêter est fondamentale ; elle est préalable à tous les autres devoirs (JEANNERET, Les dispositions pénales de la loi sur la circulation routière, 2007, n° 28 ad art. 92 LCR) car elle doit permettre de constater la situation et de déterminer les mesures à prendre en fonction (cf. art. 51 al. 2 à 4 LCR). Elle est interprétée très strictement (JEANNERET, op. cit ., n° 29 ad art. 92 LCR); ainsi cette obligation intervient déjà à partir du moment où il existe une possibilité que le conducteur soit impliqué dans l'accident ou lorsque la survenance de celui-ci est probable (arrêts 6S_321/2002 du 12 novembre 2002 consid. 4; 6S_275/1995 du 22 août 1995 consid. 3a.b). Lorsque le conducteur s'accommode d'un doute et omet ainsi de s'assurer qu'aucun accident n'est intervenu, il viole ses devoirs déduits de l'art. 51 al. 1 1 ère phrase LCR (arrêt 6S_321/2002 du 12 novembre 2002 consid. 4). L'élément subjectif de l'infraction à l'art. 92 al. 1 en lien avec l'art. 51 LCR dépend de la conscience qu'a ou qu'aurait pu et/ou dû avoir l'auteur de la situation qui crée des devoirs à sa charge (JEANNERET, op. cit ., n° 131 ad art. 92 LCR; cf. arrêt 6S_275/1995 du 22 août 1995 consid. 3a.bb). Alors que l'art. 51 al. 1 LCR exige du conducteur qu'il s'arrête, l'art. 56 al. 4 OCR ordonne notamment au conducteur de retourner sur les lieux s'il apprend par la suite seulement qu'il a été impliqué dans un accident ou qu'il a pu l'être, de sorte que le comportement visé par ces deux dispositions est différent. La fuite signifie que le conducteur s'éloigne des lieux de l'accident ou se rend indisponible, violant notamment son obligation de prêter son concours à la reconstitution des faits (ATF 103 Ib 101 consid. 3 p. 107). De manière générale, il importe peu que le conducteur puisse être aisément identifié (arrêts du Tribunal fédéral 6B_977/2014 du 17 août 2015 consid. 3.1 et 6S_57/2001 du 15 mars 2001 consid. 4a ; B. CORBOZ, Les infractions en droit suisse, vol. II, 3e éd., Berne 2010, n. 34 ad art. 92 LCR). Le conducteur ne prend pas la fuite lorsqu'il quitte les lieux de l'accident pour aller chercher du secours ou quérir la police (ATF 101 IV 333 consid. 4 p. 334 s.). La jurisprudence précise cependant que, même dans cette hypothèse, le conducteur doit remplir tous ses devoirs sur place et dans les limites de ses possibilités (ATF 97 IV 224 p. 225).</w:t>
      </w:r>
    </w:p>
    <w:p>
      <w:r>
        <w:rPr>
          <w:b/>
        </w:rPr>
        <w:t>E. 3.8</w:t>
      </w:r>
    </w:p>
    <w:p>
      <w:r>
        <w:t>En l'espèce, il ressort des circonstances de l'accident constatées par la police que le prévenu a circulé le jour des faits à une vitesse inadaptée. Même s'il était autorisé à circuler dans la voie de bus, il devait, en remontant ainsi par la droite une file de véhicules à l'arrêt, circuler avec circonspection, et être en mesure de s'arrêter en présence d'un obstacle, en particulier dans la mesure où de nombreuses habitations donnent directement sur la route de Malagnou et que la survenance d'un véhicule depuis la droite n'était pas imprévisible et devait au contraire être envisagée. Le prévenu a donc bien violé la règle de prudence générale de l'art. 26 LCR, et celle spécifique de l'art. 32 ch. 1 LCR relative à la vitesse. Par ailleurs, les déclarations du prévenu qui conteste tout accident ne résistent pas à un examen objectif des faits. En effet, d'une part, les gendarmes intervenus ont constaté des dégâts, certes légers, sur le véhicule du second automobiliste; d'autre part, ils ont expressément invité le prévenu à revenir sur place, ce que celui-ci a refusé. Les photographies de son véhicule, envoyées plusieurs jours après, sont à cet égard sans portée probante. D'une part, il n'est pas exclu que des travaux de carrosserie aient été effectués puisque les photos ont été envoyées plusieurs jours après les faits. D'autre part, et surtout, même en l'absence de dégâts sur son propre véhicule, le prévenu devait rester sur place en raison des dommages matériels occasionnés au véhicule du second automobiliste, dont l'existence est avérée, même s'il s'agit de dégâts relativement peu importants. Le prévenu a donc bel et bien violé ses devoirs en cas d'accident au sens de l'art. 92 al. 1 LCR. Enfin, le comportement du prévenu au moment de quitter les lieux consacre encore une violation de la règle générale de prudence de l'art. 26 LCR, violation qui est d'ailleurs à la limite de constituer une infraction grave au sens de l'art. 90 al. 2 LCR, dans la mesure où il a clairement effectué une manoeuvre susceptible de mettre en danger l'autre automobiliste, qui était alors piéton puisqu'il était sorti de son véhicule. Au cours de cette manoeuvre, il a également franchi une double-ligne (signal 6.02 - OSR) et empiété sur une piste cyclable, contrevenant aux art. 32 et 43 LCR.</w:t>
      </w:r>
    </w:p>
    <w:p>
      <w:r>
        <w:rPr>
          <w:b/>
        </w:rPr>
        <w:t>E. 3.9</w:t>
      </w:r>
    </w:p>
    <w:p>
      <w:r>
        <w:t>Le verdict de culpabilité doit ainsi être intégralement confirmé. 4. 4.1. Selon l'art. 47 du code pénal suisse du 21 décembre 1937 (CP - RS 311.0; applicable aux contraventions, cf.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 4.4.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4.5. En l'espèce, la faute de l'appelant est importante. Non seulement il a occasionné un accident par une conduite inadaptée, mais il a ensuite quitté les lieux, par une manoeuvre dangereuse, en empiétant sur une piste cyclable et en franchissant une ligne de sécurité, et surtout en intimidant avec son véhicule l'autre automobiliste impliqué, et a par la suite refusé de revenir sur les lieux à l'invitation de la police. 4.6. Comme le relève le Ministère public, la situation financière réelle du prévenu n'est pas établie. En effet, celui-ci exerce manifestement encore une activité professionnelle puisqu'il travaillait comme chauffeur professionnel le jour des faits. Les revenus générés par cette activité (EUR 2'300.- par mois selon sa déclaration initiale à la police) semblent largement contribuer à sa situation puisqu'ils sont nettement supérieurs au montant qu'il déclare percevoir comme retraite (EUR 980.-). Tout bien considéré, l'amende de CHF 2'500.-, assortie d'une peine privative de liberté de substitution de 25 jours, fixée par le Tribunal de police apparaît tenir compte de manière adéquate de tous les éléments pertinents, et notamment de la gravité de la faute commise. Il sied de préciser que le prévenu pourra, le cas échéant, solliciter auprès de l'autorité d'exécution un arrangement de paiement qui n'a donc pas lieu d'être examiné ici. 4.7. Le jugement entrepris doit ainsi être confirmé dans sa totalité, et l'appel rejeté. 5. L'appelant, qui succombe, supportera les frais de la procédure envers l'État (art. 428 CPP). * * * * *</w:t>
      </w:r>
    </w:p>
    <w:p>
      <w:r>
        <w:rPr>
          <w:b/>
        </w:rPr>
        <w:t>E. 6</w:t>
      </w:r>
    </w:p>
    <w:p>
      <w:r>
        <w:t>juillet 2017 consid. 2.2 ; 4A_239/2011 du 22 novembre 2011 consid. 2.4.1 = JdT 2011 I 321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