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P/3200/2014 vom 16. März 2015</w:t>
      </w:r>
    </w:p>
    <w:p>
      <w:r>
        <w:t>GE Cour de justice, 2015-03-16, FR</w:t>
      </w:r>
    </w:p>
    <w:p>
      <w:r>
        <w:rPr>
          <w:b/>
        </w:rPr>
        <w:t xml:space="preserve">Quelle: </w:t>
      </w:r>
      <w:r>
        <w:t>https://mcp.opencaselaw.ch/entscheid/ge_gerichte_P_3200_2014</w:t>
      </w:r>
    </w:p>
    <w:p>
      <w:r>
        <w:t>FR: GE_GERICHTE P/3200/2014 du 16 mars 2015</w:t>
      </w:r>
    </w:p>
    <w:p>
      <w:r>
        <w:t>IT: GE_GERICHTE P/3200/2014 del 16 marzo 2015</w:t>
      </w:r>
    </w:p>
    <w:p>
      <w:pPr>
        <w:pStyle w:val="Heading2"/>
      </w:pPr>
      <w:r>
        <w:t>Regeste</w:t>
      </w:r>
    </w:p>
    <w:p>
      <w:r>
        <w:t>ADMINISTRATION DES PREUVES; PRÉSOMPTION D'INNOCENCE; IN DUBIO PRO REO; INFRACTIONS CONTRE L'AUTORITÉ PUBLIQUE; LÉSION CORPORELLE SIMPLE; VOIES DE FAIT; CONCOURS D'INFRACTIONS; PEINE PRIVATIVE DE LIBERTÉ; ATTÉNUATION DE LA PEINE; DÉFENSE D'OFFICE; NATURE JURIDIQUE | LEtr.115.1.b; CP.285.1; CP.126.1; CP.123.1; CP.41.1; LStup.19a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2.1.2. La juridiction d'appel administre, d'office ou à la demande d'une partie, les preuves complémentaires nécessaires au traitement du recours (art. 389 al. 3 CPP ; arrêt du Tribunal fédéral 6B_78/2012 du 27 août 2012 consid. 3.1). 2.1.3. L'administration des preuves du tribunal de première instance n'est répétée que si les dispositions en matière de preuves ont été enfreintes (art. 389 al. 2 let. a CPP), l'administration des preuves était incomplète (al. 2 let. b) ou si les pièces relatives à l'administration des preuves ne semblent pas fiables (al. 2 let. c). Afin de déterminer quel moyen de preuve doit être administré, le juge dispose d'un pouvoir d'appréciation (arrêt du Tribunal fédéral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l'espèce, ainsi qu'il a été retenu lors de l'ouverture des débats d'appel, il est établi par appréciation anticipée de preuves que la partie plaignante avait subi des griffures, l'audition de la doctoresse G______ n'était donc pas nécessaire. Seule demeure litigieuse la question de la qualification juridique, qui sera examinée avec le fond. Cette réquisition de preuve doit donc être rejetée.</w:t>
      </w:r>
    </w:p>
    <w:p>
      <w:r>
        <w:rPr>
          <w:b/>
        </w:rPr>
        <w:t>E. 3</w:t>
      </w:r>
    </w:p>
    <w:p>
      <w:r>
        <w:t>3.1.1.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3.1.2.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ces derniers. L'auteur encourt une peine privative de liberté de trois ans au plus ou une peine pécuniaire.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 2e éd., 2007, n. 5 ad art. 285 CP ; B. CORBOZ, Les infractions en droit suisse, vol. II, 2002, n. 9 ad art. 285 CP).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op. cit .,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Pour certains auteurs, la création d'un obstacle matériel comme fermer la porte à clé ou ériger des barricades tombent sous le coup de l'art. 285 CP (B. CORBOZ, op. cit ., vol II, n. 4 ad art. 285 CP ; G. STRATENWERTH / F. BOMMER, Schweizerisches Strafrecht, Besonderer Teil II : Straftaten gegen Gemeininteressen , 6e éd., 2008, § 50 n. 20), alors que, d'après d'autres auteurs, de tels actes ne sauraient être qualifiés d'actes de violence au sens de l'art. 285 CP, mais constituent des actes d'opposition selon l'art. 286 CP (S. TRECHSEL, Schweizerisches Strafgesetzbuch : Praxiskommentar , Zurich/Saint-Gall 2008, n. 3 ad art. 285 CP ; S. HEIMGARTNER, op. cit. , n. 7 ad art. 285 CP). Enfin, la violence doit atteindre le fonctionnaire, mais non un tiers (S. HEIMGARTNER, op. cit. , n. 9 ad art. 285 CP). La menace correspond à celle de l'art. 181 CP, même s'il n'est pas précisé qu'elle doit porter sur un dommage sérieux (arrêt du Tribunal fédéral 6B_257/2010 du 5 octobre 2010 consid. 5.1 ; B. CORBOZ, op. cit. , vol. II, n. 5 ad art. 285 CP ; S. HEIMGARTNER, op. cit. , n. 10 ad art. 285 CP). Elle peut être expresse ou non et communiquée par n'importe quel moyen. Elle peut être exprimée oralement, par écrit ou par un comportement concluant ; elle peut être transmise par un intermédiaire ; il faut analyser le comportement de l'auteur dans son ensemble pour dire s'il en résulte une menace, celle-ci pouvant être sous-entendue (B. CORBOZ, op. cit. , vol. I, n. 9 ad art. 181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vol. II, n. 11 ad art. 285 CP). Selon la seconde variante, l'auteur se livre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(B. CORBOZ, op. cit , vol. II, n. 17 ad art. 285 CP ; S. TRECHSEL, op. cit ., n. 8 ad art. 285 CP). En revanche, l'art. 285 CP n'est pas applicable si l'auteur règle un compte privé avec le fonctionnaire, mais à un moment où celui-ci est en fonction (ATF 110 IV 91 consid. 2 p. 92, arrêt du Tribunal fédéral 6B_834/2008 du 20 janvier 2009 consid. 3.1). L'infraction est intentionnelle, le dol éventuel suffit (M. DUPUIS / B. GELLER / G. MONNIER / L. MOREILLON / C. PIGUET / C. BETTEX / D. STOLL (éds), Code pénal - Petit commentaire , Bâle 2012, n. 22 ad art. 285 CP). L'art. 285 ch. 1 CP entre en concours parfait avec les lésions corporelles simples et prime les voies de fait (M. DUPUIS / B. GELLER / G. MONNIER / L. MOREILLON / C. PIGUET / C. BETTEX / D. STOLL (éds), op. cit , nos 23-24 ad art. 285 CP). 3.1.3.1. Aux termes de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CP). 3.1.3.2. A teneur de l'art. 126 al. 1 CP, celui qui se sera livré sur une personne à des voies de fait qui n'auront causé ni lésion corporelle ni atteinte à la santé sera, sur plainte, puni d'une amende. 3.1.3.3.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(ATF 119 IV 25 consid. 2a p. 26-27). La question peut parfois être résolue de manière satisfaisante par l'application de l'art. 123 ch. 1 in fine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ATF 107 IV 40 consid. 5c p. 42 ; ATF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3.2.1. L'appelant ne saurait être suivi lorsqu'il soutient, encore en appel, n'avoir fait preuve d'aucune violence envers l'agent de police lors de son arrestation. Plusieurs éléments au dossier contredisent ses dénégations, lesquelles ne sont en tout état pas crédibles en raison de leur contradiction. Il est établi que l'appelant était dans un état d'énervement certain le jour des faits, qu'il a manifesté également contre les forces de l'ordre et non pas uniquement contre son amie. A teneur des rapport de police et procès-verbal d'audition, respectivement établis par des agents tiers, l'appelant a été agressif avant, pendant et après son arrestation. En témoignent les griffures au poignet et à la main gauche de la partie plaignante causées par l'appelant qui ont nécessité un déplacement à l’hôpital pour des soins (cf. infra ), ainsi que sa mauvaise foi et sa grossièreté à l'égard du policier ayant effectué son audition, étant observé que l'allégation selon laquelle les propos protocolés auraient été inventés par la police n'est pas crédible. Par conséquent, les explications et dénégations de l'appelant n'emportent pas conviction. A teneur des déclarations constantes de la partie plaignante, un agent de police assermenté, on retiendra qu’au moment où le gendarme C______ a saisi le bras gauche de l'appelant en prise d’escorte dans le but de l’éloigner de la femme, ce dernier, qui était excité et agressif, s’y est opposé en se débattant et en faisant preuve de violence, ce qui a contraint le gendarme, aidé par son collègue, à user de la force pour maîtriser l'appelant et le menotter. Il est ainsi établi à teneur de la procédure que l'appelant récalcitrant a usé de violence contre un agent de police qui était en fonction et cherchait à procéder à son interpellation. C'est en raison de ce comportement que l'intimé a dû employer la force pour le maîtriser. En agissant de la sorte, l'appelant a rendu l'acte officiel de ce fonctionnaire de police plus difficile, faits constitutifs d'infraction à l'art. 285 ch. 1 CP. 3.2.2. L'existence des griffures causées par l'appelant à la partie plaignante a été démontrée lors de la procédure. Quand bien même aucun certificat médical n’a été produit, il n'y a aucune raison de remettre en question les déclarations constantes de la partie plaignante. La réalité des blessures étant, en outre, confirmée par le rapport de police établi par un agent extérieur au contentieux. Seule la qualification juridique reste litigieuse. La partie plaignante n'a pas soutenu que ces blessures superficielles lui aient causé un trouble important et aucun élément au dossier ne plaide dans ce sens. Au regard de la jurisprudence, les actes ayant causé des griffures qui ne portent qu'une atteinte inoffensive et passagère au bien-être du lésé, ne constituent que des voies de fait. Par conséquent, les actes à l'origine desdites griffures doivent être qualifiés de la sorte et non pas de lésions corporelles simples. Ces voies de fait ont eu lieu contre un agent de police pendant qu'il procédait à un acte entrant dans ses fonctions (cf. mutatis mutandis supra) de sorte que l'art. 285 ch. 1 CP s'applique et absorbe les voies de fait (art. 126 CP). Les différents actes de l'appelant à l'égard de l'agent de police lors de son interpellation doivent être considérés comme un tout sanctionné exclusivement par l'art. 285 ch. 1 CP. 3.2.3. L'appelant se contente de nier avoir eu l'intention de s'en prendre aux forces de l'ordre, sans de plus amples justifications. Aucun élément au dossier ne saurait exclure son intention, pas même son état d'énervement. Il a donc agi avec conscience et volonté. Le jugement entrepris sera donc confirmé en ce qu'il reconnait l'appelant coupable d'infraction à l'art. 285 ch. 1 CP, mais réformé sur le point de sa culpabilité pour lésions corporelles simples où son acquittement devra être prononcé.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4.2.2. 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4.2.3.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 arrêt du Tribunal fédéral 6B_541/2007 du 13 mai 2008 consid. 5.1). 4.2.4.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w:t>
      </w:r>
    </w:p>
    <w:p>
      <w:r>
        <w:rPr>
          <w:b/>
        </w:rPr>
        <w:t>E. 4.3</w:t>
      </w:r>
    </w:p>
    <w:p>
      <w:r>
        <w:t>En l’espèce, la faute de l’appelant n'est pas négligeable. Il a fait preuve de violence et de mépris à l'égard d'un représentant des forces de l'ordre. Il a également persisté à séjourner en Suisse malgré la décision l'interdiction d'entrée prononcée à son encontre et les condamnations pour séjour illégal dont il a fait l'objet. La période pénale est longue, allant du 1 er mars 2013 au 23 février 2014. La situation personnelle précaire de l'appelant n'est pas un facteur à décharge, dans la mesure où elle est la conséquence de son refus de quitter un pays où il séjourne illégalement. Ses antécédents judiciaires sont mauvais. Il a été condamné à neuf reprises entre 2004 et 2013 principalement pour des infractions contre le patrimoine, à la législation en matière de séjour des étrangers et pour consommation de stupéfiants. Aucune de ces décisions ne l’a dissuadé de récidiver. Sa collaboration à la procédure a été médiocre. Il n'a cessé de nier les faits qui lui étaient reprochés à l'égard du policier, proposant des versions contradictoires, et a adopté, lors de sa première audition, un comportement empreint d'irrespect et de mauvaise foi. Quant aux infractions aux lois sur les étrangers et sur les stupéfiants, il a immédiatement reconnu les faits qui lui étaient reprochés. Toutefois, interpellé sur le territoire suisse sur lequel il séjournait sans droit, il pouvait difficilement contester les charges. Il en va de même de la drogue retrouvée sur lui lors de la fouille de sécurité. La prise de conscience de l'appelant n'est que partielle, puisqu'elle concerne essentiellement le volet du droit des étrangers, et doit être relativisée dans la mesure où il a manifesté, encore en appel, sa volonté de rester en Suisse. Les regrets exprimés par-devant la CPAR paraissent de pure circonstance. Aucune des circonstances atténuantes prévues par l'art. 48 CP n'est réalisée, ni d’ailleurs plaidée. Il y a concours d'infractions. Vu la répétition d'infractions de mêmes genres et le refus explicite de l'appelant de retourner dans son pays, sans pour autant que des démarches visant à régulariser sa situation n'aient été entreprises, le pronostic ne peut qu'être défavorable, l'absence d'attaches documentées de l'appelant en Suisse ne permettant au surplus pas d'infirmer ce point de vue. A cela s’ajoute une situation précaire qui augmente encore le risque de commission de nouvelles infractions. Par conséquent, seule une peine ferme pouvait être prononcée. Au vu de sa situation administrative en Suisse, de l'absence de toute possibilité de gain licite, et du nombre de peines privatives de liberté fermes qu'il a purgées sans effet dissuasif, tant le travail d'intérêt général que la peine pécuniaire sont exclus, de sorte que l'appelant doit être condamné à une peine privative de liberté. C’est donc à bon droit que le premier juge l'a condamné à une courte peine privative de liberté ferme. La sanction ayant été prononcée en raison d'un concours d'infractions entre le séjour irrégulier et un autre délit, aucune question spécifique ne se pose au regard de la directive sur le retour 2008/115/CE et de la jurisprudence y relative. Vu l'acquittement partiel prononcé, la peine privative de liberté de quatre mois, sous déduction de deux jours de détention avant jugement, doit être réduite à trois mois. L'amende de CHF 100.-, ainsi que la peine privative de liberté de substitution de un jour, pour l'infraction à l'art. 19a LStup seront maintenues, n'ayant été contestées ni dans leur principe ni dans leur quotité.</w:t>
      </w:r>
    </w:p>
    <w:p>
      <w:r>
        <w:rPr>
          <w:b/>
        </w:rPr>
        <w:t>E. 5</w:t>
      </w:r>
    </w:p>
    <w:p>
      <w:r>
        <w:t>1. L'appelant, qui succombe partiellement, supportera la moitié des frais de la procédure d'appel (art. 428 CPP), lesquels comprendront un émolument de CHF 1'500.- (art. 14 al. 1 let. e du Règlement fixant le tarif des frais en matière pénale, du 22 décembre 2010 [RTFMP; E 4 10.03]). Le solde des frais sera laissé à la charge de l'Etat.</w:t>
      </w:r>
    </w:p>
    <w:p>
      <w:r>
        <w:rPr>
          <w:b/>
        </w:rPr>
        <w:t>E. 5.2</w:t>
      </w:r>
    </w:p>
    <w:p>
      <w:r>
        <w:t>Dans la mesure où l'appelant a été partiellement acquitté pour une infraction et que la peine a sensiblement été réduite, le jugement entrepris sera également modifié en ce sens que l'émolument complémentaire de jugement de CHF 600.- doit être laissé pour moitié à la charge de l'Etat, l'appelant ne devant donc s'acquitter que de CHF 716.-, au total, s'agissant des frais de première instance.</w:t>
      </w:r>
    </w:p>
    <w:p>
      <w:r>
        <w:rPr>
          <w:b/>
        </w:rPr>
        <w:t>E. 6</w:t>
      </w:r>
    </w:p>
    <w:p>
      <w:r>
        <w:t>6.1.1.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6.1.2.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6.2</w:t>
      </w:r>
    </w:p>
    <w:p>
      <w:r>
        <w:t>En l'espèce, l'activité suivante ne sera pas considérée comme nécessaire : - une heure effectuée par la cheffe d'étude et affectée à un entretien avec son assisté, lequel a eu lieu à une date antérieure à la nomination d'office ; - 30 minutes effectuées par son associée et affectées à l'assistance à la seconde audience d'appel qui n'a duré qu'une demi-heure. L'activité exercée par le défenseur d’office de l'appelant dans le cadre de la présente procédure est au surplus en adéquation avec la nature, l'importance et la difficulté de la cause. Par conséquent, l'état de frais, après les réductions qui précèdent, sera admis à concurrence de 7 heures et 45 minutes d'activité effectuées par la cheffe d'étude ou son associée, ce qui correspond à une indemnité de base de CHF 1'550.-. Il convient d'ajouter à ce montant l'indemnisation forfaitaire de 20%, soit CHF 310.-, ainsi que la TVA à hauteur de CHF 148.80.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