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P/3140/2022 vom 2. Oktober 2024</w:t>
      </w:r>
    </w:p>
    <w:p>
      <w:r>
        <w:t>GE Cour de justice, 2024-10-02, FR</w:t>
      </w:r>
    </w:p>
    <w:p>
      <w:r>
        <w:rPr>
          <w:b/>
        </w:rPr>
        <w:t xml:space="preserve">Quelle: </w:t>
      </w:r>
      <w:r>
        <w:t>https://mcp.opencaselaw.ch/entscheid/ge_gerichte_P_3140_2022</w:t>
      </w:r>
    </w:p>
    <w:p>
      <w:r>
        <w:t>FR: GE_GERICHTE P/3140/2022 du 2 octobre 2024</w:t>
      </w:r>
    </w:p>
    <w:p>
      <w:r>
        <w:t>IT: GE_GERICHTE P/3140/2022 del 2 ottobre 2024</w:t>
      </w:r>
    </w:p>
    <w:p>
      <w:pPr>
        <w:pStyle w:val="Heading2"/>
      </w:pPr>
      <w:r>
        <w:t>Regeste</w:t>
      </w:r>
    </w:p>
    <w:p>
      <w:r>
        <w:t>CP.181; CP.144; CP.177; CPP.10; CPP.135</w:t>
      </w:r>
    </w:p>
    <w:p>
      <w:pPr>
        <w:pStyle w:val="Heading2"/>
      </w:pPr>
      <w:r>
        <w:t>Erwägungen</w:t>
      </w:r>
    </w:p>
    <w:p>
      <w:r>
        <w:rPr>
          <w:b/>
        </w:rPr>
        <w:t>E. 1.1</w:t>
      </w:r>
    </w:p>
    <w:p>
      <w:r>
        <w:t>Depuis le 1 er janvier 2024, le défenseur d’office peut contester la décision fixant l’indemnité en usant du moyen de droit permettant d’attaquer la décision finale (art. 135 al. 3 CPP). Il doit donc former appel contre la décision en respectant les délais de l’art. 399 CPP. En l’occurrence, la défenseure d’office a intitulé son appel « recours » et l’a motivé. Traité comme un appel motivé d’emblée par écrit, celui-ci est recevable. Les appels sont ainsi tous deux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Selon un principe général de procédure, les conclusions en constatation de droit ne sont recevables que lorsque des conclusions condamnatoires ou formatrices sont exclues. Sauf situations particulières, notamment en lien avec la violation du principe de célérité (art. 5 CPP), dans certaines causes impliquant des personnes qui se prétendent victimes de traitements prohibés au sens des art. 10 al. 3 Cst. et 3 CEDH ou encore dans les procédures en lien avec la détention, les conclusions constatatoires ont donc un caractère subsidiaire (ATF 141 IV 349 consid. 3.4.2 p. 356 ; 141 II 113 consid. 1.7 p. 123).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du Tribunal fédéral 6B_1422/2017 du 5 juin 2018 consid. 3.1 ; 6B_43/2012 du 27 août 2012 consid. 1.1). Conformément à l’art. 408 CPP, si la juridiction d’appel entre en matière, elle rend un nouveau jugement qui remplace le jugement de première instance. Celui-ci n’a donc plus d’existence propre, et ce, même dans l’hypothèse où le jugement d’appel confirme intégralement les conclusions du jugement entrepris. La violation du droit est l’un des motifs de l’appel ; le constat d’une telle violation intervient toutefois, le cas échéant, dans la motivation mais en aucun cas dans le dispositif du jugement d’appel. Il en découle que les conclusions constatatoires des appelants (constat de la violation de la présomption d’innocence ou de la violation de l’art. 6 CEDH sous l’angle du droit à l’assistance juridique) sortent du cadre de l’appel et sont irrecevables.</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p. 40). Les déclarations de la victime constituent un élément de preuve que le juge doit prendre en compte dans l'évaluation globale de l'ensemble des éléments probatoires rassemblés au dossier (arrêts du Tribunal fédéral 6B_922/2022 du 21 avril 2023 consid. 1.2 ; 6B_720/2022 du 9 mars 2023 consid. 1.1 ; 6B_497/2022 du 23 décembre 2022 consid. 1.1). Les situations de " parole contre parole ",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(ATF 137 IV 122 consid. 3.3 ; arrêts du Tribunal fédéral 6B_922/2022 du 21 avril 2023 consid. 1.2 ; 6B_720/2022 du 9 mars 2023 consid. 1.1 ; 6B_497/2022 du 23 décembre 2022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2.3.1. En l’espèce, l’appelant conteste être l’auteur du bris de vitre de la partie plaignante le 15 février 2024. Or, il ressort clairement de la plainte de celle-ci, tout comme des constats des gendarmes, que cet événement est survenu au moment où il se trouvait à l’extérieur de l’appartement et essayait, en vain, de convaincre la plaignante de lui ouvrir. Si la coursive où s’est produit cet incident est certes librement accessible, il n’en demeure pas moins que le bris d’une fenêtre au quatrième étage d’un immeuble n’est pas un phénomène quotidien ni même régulier, et que la coïncidence de cet événement avec, d’une part, la présence de l’appelant sur place et, d’autre part, l’arrivée de la police et donc sa fuite, constitue un faisceau d’indices largement suffisant à établir sa culpabilité pour ces faits. 2.3.2. L’appelant conteste également avoir injurié la partie plaignante le même jour. Celle-ci a immédiatement indiqué, dans sa plainte déposée à la police, avoir été traitée de « pute », après avoir également fait état d’injures lors de son appel à la police tôt le matin. L’appelant avait, par le passé, reconnu avoir à réitérées reprises injurié de la sorte son ancienne amie. Il a également admis avoir proféré cette injure en février 2022, en réponse à une insulte de celle-ci (C-43). La partie plaignante a certes indiqué, lors de l’audience de confrontation, ne pas se rappeler si des insultes avaient été prononcées en février 2022, tout en rappelant que l’appelant l’avait fait de façon répétée par le passé. Cela étant, il est établi par le dossier que l’appelant était énervé, a frappé et sonné à plusieurs reprises à la porte de la plaignante, allant jusqu’à briser la vitre d’une fenêtre de son appartement. Dans ces circonstances, compte tenu de surcroît du fait qu’il était coutumier des injures, les déclarations initiales de la partie plaignante à ce sujet, notamment au téléphone lors de son appel au 117, alors qu’elle était encore sous le coup de la contrainte de l’appelant qui se trouvait devant son appartement, ne sont pas contredites par le fait qu’elle indique, trois mois plus tard, ne pas en avoir le souvenir. Ses premières déclarations emportent la conviction face aux dénégations de circonstance de l’appelant qui sont dénuées de toute crédibilité. Le verdict de culpabilité sera dès lors intégralement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3.2</w:t>
      </w:r>
    </w:p>
    <w:p>
      <w:r>
        <w:t>Selon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 6B_335/2016 du 24 janvier 2017 consid. 3.3.5).</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Cette disposition ne prévoit aucune exception. Le prononcé d'une peine unique dans le sens d'un examen global de tous les délits à juger n'est pas possible (ATF 145 IV 1 consid. 1.4 ; 144 IV 313 consid. 1.1.2).</w:t>
      </w:r>
    </w:p>
    <w:p>
      <w:r>
        <w:rPr>
          <w:b/>
        </w:rPr>
        <w:t>E. 3.4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 fixation d'une peine d'ensemble n'est pas possible en cas de sanctions de genre différent. Ainsi, une peine privative de liberté ne peut être prononcée comme peine complémentaire d'une sanction pécuniaire (ATF 142 IV 265 consid. 2.3.2 et les références = JdT 2017 IV 129 ; ATF 138 IV 120 consid. 5.2 p. 122 s. ; arrêt du Tribunal fédéral 6B_952/2016 , 6B_962/2016 du 29 août 2017 consid. 4.2).</w:t>
      </w:r>
    </w:p>
    <w:p>
      <w:r>
        <w:rPr>
          <w:b/>
        </w:rPr>
        <w:t>E. 3.5</w:t>
      </w:r>
    </w:p>
    <w:p>
      <w:r>
        <w:t>Les principes de l'art. 47 CP valent aussi pour le choix entre plusieurs sanctions possibles, et non seulement pour la détermination de la durée de celle qui est prononcée. L'efficacité de la sanction à prononcer est autant décisive pour la détermination de celle-ci que pour en fixer la durée (arrêt du Tribunal fédéral 6B_611/2014 du 9 mars 2015 consid. 4.2).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3.6</w:t>
      </w:r>
    </w:p>
    <w:p>
      <w:r>
        <w:t>En l’espèce, l’appelant ne formule aucune critique à l’encontre de la peine prononcée par le premier juge, au-delà des acquittements plaidés. Il appartient toutefois à la CPAR de fixer à nouveau la peine puisqu’elle doit rendre un jugement complet. La faute de l’appelant est importante. Alors qu’il venait d’être condamné pour des faits semblables, il a poursuivi, harcelé et injurié la partie plaignante à son domicile, allant dans son emportement jusqu’à briser une vitre de l’appartement. Son comportement l’a contrainte à quitter son logement pendant quelques jours pour se protéger, ainsi que sa fille âgée de huit ans au moment des faits. Il a agi pour des motifs peu clairs, relevant du dépit amoureux voire du défoulement colérique à l’encontre de la plaignante et, vraisemblablement, sous l’emprise de l’alcool. Sa responsabilité est légèrement diminuée à dire d’expert. Cela étant, sa situation personnelle, certes peu favorable, n’explique ni ne justifie ses agissements. Il n’a pas compris l’avertissement que constituait l’ordonnance pénale notifiée quelques jours plus tôt, qui semble au contraire l’avoir encouragé à poursuivre ses agissements délétères pour les lésées. L’appelant ne critique à raison pas le choix du premier juge de prononcer une peine privative de liberté pour les infractions le permettant. Ses nombreux antécédents, pour partie spécifiques, ainsi que le risque de récidive décrit par les experts commandent en effet une telle sanction, seule susceptible de le dissuader de récidiver.</w:t>
      </w:r>
    </w:p>
    <w:p>
      <w:r>
        <w:rPr>
          <w:b/>
        </w:rPr>
        <w:t>E. 3.6.1</w:t>
      </w:r>
    </w:p>
    <w:p>
      <w:r>
        <w:t>Les faits les plus graves sont indubitablement ceux qualifiés de contrainte, qui encourent, à eux seuls une peine privative de liberté de neuf mois, qui forme la peine de base. Cette peine doit être aggravée de 15 jours (peine théorique d’un mois) pour les dommages à la propriété, portant la peine à neuf mois et demi. Cette peine théorique doit toutefois être ramenée à six mois pour tenir compte de la responsabilité légèrement restreinte de l’appelant et, surtout, de l’interdiction de la reformatio in peius (art. 391 al. 2 CPP). Compte tenu du genre de peine différent, cette peine n’est pas complémentaire à celle prononcée par le MP le 27 janvier 2022 ; le jugement entrepris sera réformé en ce sens.</w:t>
      </w:r>
    </w:p>
    <w:p>
      <w:r>
        <w:rPr>
          <w:b/>
        </w:rPr>
        <w:t>E. 3.6.2</w:t>
      </w:r>
    </w:p>
    <w:p>
      <w:r>
        <w:t>L’injure proférée est passible d’une peine menace de 90 jours-amende. Compte tenu de la récidive, la peine pécuniaire de 20 jours-amende prononcée par le premier juge sanctionne adéquatement cette infraction ; la peine sera confirmée. Les faits d’injure étant postérieurs au 27 janvier 2022, cette peine n’est pas non plus complémentaire à celle prononcée par le MP à cette date.</w:t>
      </w:r>
    </w:p>
    <w:p>
      <w:r>
        <w:rPr>
          <w:b/>
        </w:rPr>
        <w:t>E. 3.6.3</w:t>
      </w:r>
    </w:p>
    <w:p>
      <w:r>
        <w:t>L’appelant ne conteste pour le surplus à raison pas le prononcé d’une peine ferme, ce qui est la conséquence logique de la mesure thérapeutique, sous forme d’un traitement ambulatoire (ATF 135 IV 180 consid. 2.3 p. 187), qui n’est pas non plus querellé. Il n’y a pas lieu d’y revenir.</w:t>
      </w:r>
    </w:p>
    <w:p>
      <w:r>
        <w:rPr>
          <w:b/>
        </w:rPr>
        <w:t>E. 4.1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est arrêtée à CHF 55.- / CHF 75.- / CHF 100.- pour les stagiaires / collaborateurs / chefs d'étude, dite rémunération étant allouée d'office par la juridiction d'appel pour les débats devant elle.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4.4</w:t>
      </w:r>
    </w:p>
    <w:p>
      <w:r>
        <w:t>En l’espèce, il sera tout d’abord relevé que l’appel de la défenseure d’office est peu lisible, et ne contient en particulier aucune conclusion chiffrée, ce qui implique pour la CPAR la nécessité de rechercher, dans le corps du texte, les points contestés, tels qu’identifiés (supra B.e.). Par ailleurs, la note d’honoraires du 13 novembre 2023 ne correspond que partiellement aux règles applicables en matière d’assistance juridique, notamment en ce qui concerne les parloirs à la prison, qui sont mentionnés à la fois sous la rubrique « conférence » et la rubrique « déplacements », pour des durées ne correspondant pas au forfait usuel, les déplacements étant de surcroît facturés en francs et non en durée ce qui rend la lecture de l’état de frais difficile. A cela s’ajoute que leur intitulé varie (Parloir G______ avec déplacement [11.5.2022 sans déplacement facturé en sus], Conférence – parloir [15.6.2022 avec un déplacement facturé en sus] ou encore Conférence + déplacement CD [18.8.2022 avec un déplacement facturé en sus]), ce qui rajoute à la confusion.</w:t>
      </w:r>
    </w:p>
    <w:p>
      <w:r>
        <w:rPr>
          <w:b/>
        </w:rPr>
        <w:t>E. 4.4.1</w:t>
      </w:r>
    </w:p>
    <w:p>
      <w:r>
        <w:t>Ce qui précède vaut particulièrement le cas pour le parloir du 25 mai 2022, qui n’apparaît que dans la rubrique « déplacements », pour une durée de moitié inférieure à celle indiquée par l’appelante (sauf à considérer que ce déplacement, contrairement à d’autres, est compté à 50%). Il était logique à cet égard que le TP écarte un déplacement sans conférence en regard. Il sera néanmoins pris acte du fait qu’une conférence a eu lieu à la prison ce jour-là et une indemnisation correspondant à 1h30 d’activité de collaboratrice sera pris en compte.</w:t>
      </w:r>
    </w:p>
    <w:p>
      <w:r>
        <w:rPr>
          <w:b/>
        </w:rPr>
        <w:t>E. 4.4.2</w:t>
      </w:r>
    </w:p>
    <w:p>
      <w:r>
        <w:t>En ce qui concerne les conférences des 9 septembre et 28 octobre 2022, le prévenu n’était plus en détention préventive mais en exécution de peine à ces dates ; or, la visite mensuelle n’est admise par l’assistance juridique qu’en cas de détention provisoire. Le TP aurait ainsi pu écarter la conférence à la prison du 9 septembre 2022, indemnisée à hauteur d’une heure. La procédure n’a connu qu’un seul développement en automne 2022, soit une audition à la police le 28 octobre 2022. Un déplacement facturé à cette date et indemnisé est en lien avec cette audition, étant rappelé que le forfait déplacement comprend l’aller-retour sur le canton de Genève. Le second déplacement n’a pas lieu d’être, faute de conférence à la prison le jour en question : la CPAR ne s’explique pas pourquoi l’appelante maintient que tel serait le cas. Celle-ci ne conteste au surplus pas la suppression des conférences internes. Enfin, dans la mesure où une conférence à la prison a été indemnisée à tort en septembre 2022 au tarif d’avocat collaborateur, il n’y a pas lieu d’ajouter d’office la durée (1h30) de l’audition à la police à laquelle a assisté la stagiaire, les deux prestations pouvant être compensées vu la différence de valeur négligeable.</w:t>
      </w:r>
    </w:p>
    <w:p>
      <w:r>
        <w:rPr>
          <w:b/>
        </w:rPr>
        <w:t>E. 4.4.3</w:t>
      </w:r>
    </w:p>
    <w:p>
      <w:r>
        <w:t>L’indemnisation de l’activité en lien avec la prolongation des mesures de substitution en février et mars 2023, notamment le recours formé auprès de la CPR, a été trop réduite par le premier juge. Les arguments des deux écritures se recoupant néanmoins, quatre heures en tout seront allouées pour cette activité, en lieu et place des 1h15 accordées par le premier juge.</w:t>
      </w:r>
    </w:p>
    <w:p>
      <w:r>
        <w:rPr>
          <w:b/>
        </w:rPr>
        <w:t>E. 4.4.4</w:t>
      </w:r>
    </w:p>
    <w:p>
      <w:r>
        <w:t>L’avocate a fait valoir cinq heures et demie de préparation de l’audience de première instance le 10 novembre 2023, à laquelle s’ajoute une heure d’activité la veille. Le TP a alloué à ce titre une heure et demie d’activité, qui s’ajoute à l’activité indemnisée en amont de l’audience de jugement, totalisant (hors audiences d’instruction) plus de 20 heures d’activité sur une période de 18 mois. La durée invoquée par l’avocate inclut, sans la distinguer, la préparation d’un chargé de pièces, activité qui relève en réalité d’un travail de secrétariat et n’a pas à être indemnisée séparément, la sélection des pièces pertinentes étant inclue dans l’indemnisation forfaitaire. Par ailleurs, compte tenu de la connaissance du dossier accumulée au fil des audiences d’instruction et du travail mené en amont, la réduction opérée par le premier juge, certes importante, apparaît néanmoins encore adéquate, au vu du volume restreint de la procédure et des infractions en cause, en partie d’ailleurs admises par le prévenu.</w:t>
      </w:r>
    </w:p>
    <w:p>
      <w:r>
        <w:rPr>
          <w:b/>
        </w:rPr>
        <w:t>E. 4.5</w:t>
      </w:r>
    </w:p>
    <w:p>
      <w:r>
        <w:t>En fin de compte, il convient donc d’ajouter CHF 918.15, correspondant à 2h45 d’activité au tarif de CHF 200.-/heure et 1h30 d’activité au tarif de CHF 150.-/heure plus la majoration forfaitaire de 10 % et l'équivalent de la TVA au taux de 7.7% en CHF 65.15.</w:t>
      </w:r>
    </w:p>
    <w:p>
      <w:r>
        <w:rPr>
          <w:b/>
        </w:rPr>
        <w:t>E. 5.1</w:t>
      </w:r>
    </w:p>
    <w:p>
      <w:r>
        <w:t>L'appelant, qui succombe intégralement, supportera les frais de la procédure le concernant, comprenant un émolument de décision de CHF 1'500.- (art. 428 CPP).</w:t>
      </w:r>
    </w:p>
    <w:p>
      <w:r>
        <w:rPr>
          <w:b/>
        </w:rPr>
        <w:t>E. 5.2</w:t>
      </w:r>
    </w:p>
    <w:p>
      <w:r>
        <w:t>La défenseure d’office, qui obtient partiellement gain de cause, supportera la moitié de l’émolument de décision de CHF 2’000.-, arrêté en tenant compte des difficultés liées à l’absence de conclusions chiffrées en appel et de sa note d’honoraires confuse, qui ont nécessité un travail disproportionné (cf. consid. 4.4 supra ; art. 428 CPP).</w:t>
      </w:r>
    </w:p>
    <w:p>
      <w:r>
        <w:rPr>
          <w:b/>
        </w:rPr>
        <w:t>E. 6</w:t>
      </w:r>
    </w:p>
    <w:p>
      <w:r>
        <w:t>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(arrêts du Tribunal fédéral 6B_549/2015 du 16 mars 2016 consid. 2.3 in SJ 2017 I 37). 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En l’espèce, la partie plaignante fait valoir quatre heures d’activité de son conseil pour la procédure d’appel, sans mentionner de tarif horaire. En première instance, son conseil a sollicité une indemnisation de CHF 200.-/heure majorée de 30%, soit CHF 260.-/heure. Ce montant, largement en-deçà des tarifs appliqués par la Cour, sera dès lors retenu et l’indemnité allouée s’élève donc à CHF 1'124.25.</w:t>
      </w:r>
    </w:p>
    <w:p>
      <w:r>
        <w:rPr>
          <w:b/>
        </w:rPr>
        <w:t>E. 7</w:t>
      </w:r>
    </w:p>
    <w:p>
      <w:r>
        <w:t>7.1. L'état de frais produit par M e C______, défenseure de A______, satisfait les exigences légales et jurisprudentielles régissant l'assistance judiciaire en matière pénale. Il convient néanmoins d’écarter les activités qui sont en principe couvertes par le forfait pour activités diverses ; il en va ainsi de la prise de connaissance du jugement du TP (45 minutes), de la rédaction de la déclaration d’appel (45 minutes), acte qui n’a pas à être motivé, et de la demande de délai (10 minutes). Par ailleurs, les trois heures consacrées à l’examen de la décision d’indemnisation et à la rédaction d’un recours contre celle-ci ne sont pas des activités en lien avec la défense du prévenu mais avec la défense des intérêts propres de l’avocate : l’indemnisation de ces activités doit être examinée en lien avec le sort de l’appel formé par l’avocate. La rémunération de M e C______ pour la procédure d’appel sera donc arrêtée à CHF 1'663.85, correspondant à sept heures d'activité au tarif de CHF 200.-/heure plus la majoration forfaitaire de 10 % et l'équivalent de la TVA au taux de 7.7% en CHF 16.95 et au taux de 8.1% en CHF 106.90.</w:t>
      </w:r>
    </w:p>
    <w:p>
      <w:r>
        <w:rPr>
          <w:b/>
        </w:rPr>
        <w:t>E. 7.2</w:t>
      </w:r>
    </w:p>
    <w:p>
      <w:r>
        <w:t>Le défenseur d'office a droit à des dépens lorsqu'il conteste avec succès une décision statuant sur ses honoraires (ATF 125 II 518 consid. 5; arrêts du Tribunal fédéral 6B_1251/2016 du 19 juillet 2017 consid. 4). En l’espèce, l’avocate appelante facture son activité sur ce point au tarif de l’assistance judiciaire ; il est pris acte de ce qu’elle sollicite l’application de ce tarif, dont il n’y a pas lieu de s’écarter. Compte tenu de l’admission partielle de l’appel, une indemnité correspondant à la moitié du temps consacré, soit CHF 324.30, incluant la TVA au taux de 8.1% par CHF 24.30, lui sera allouée à ce titre. Conformément à l'art. 442 al. 4 CPP, les montants alloués à l’avocat seront compensés à due concurrence avec la part des frais mise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