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P/3096/2015 vom 26. August 2016</w:t>
      </w:r>
    </w:p>
    <w:p>
      <w:r>
        <w:t>GE Cour de justice, 2016-08-26, FR</w:t>
      </w:r>
    </w:p>
    <w:p>
      <w:r>
        <w:rPr>
          <w:b/>
        </w:rPr>
        <w:t xml:space="preserve">Quelle: </w:t>
      </w:r>
      <w:r>
        <w:t>https://mcp.opencaselaw.ch/entscheid/ge_gerichte_P_3096_2015</w:t>
      </w:r>
    </w:p>
    <w:p>
      <w:r>
        <w:t>FR: GE_GERICHTE P/3096/2015 du 26 août 2016</w:t>
      </w:r>
    </w:p>
    <w:p>
      <w:r>
        <w:t>IT: GE_GERICHTE P/3096/2015 del 26 agosto 2016</w:t>
      </w:r>
    </w:p>
    <w:p>
      <w:pPr>
        <w:pStyle w:val="Heading2"/>
      </w:pPr>
      <w:r>
        <w:t>Regeste</w:t>
      </w:r>
    </w:p>
    <w:p>
      <w:r>
        <w:t>DISPOSITIONS PÉNALES DE LA LETR; FIXATION DE LA PEINE; RÉVOCATION DU SURSIS | LEtr.115.1.a; LEtr.115.1.b; CP.34; CP.42; CP.46; CP.47; CP.49; CPP.428;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Par arrêté fédéral du 18 juin 2010 (RO 2010 5925), la Suisse a repris la directive sur le retour. Pour le Tribunal fédéral, il convient d'appliquer l'art. 115 LEtr en considération de la jurisprudence de la Cour de justice de l'Union européenne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privative de liberté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LEtr, une peine pécuniaire ne pouvait pas non plus être infligée, l'acquittement devant ainsi être prononcé. La CPAR ne peut que se rallier à cette jurisprudence (cf. AARP/31/2016 du 2 février 2016), même s'il n'est pas nécessairement manifeste qu'une peine pécuniaire puisse entraver une procédure de retour au même titre qu'une peine d'emprisonnement, ni que l'impossibilité d'infliger l'une ou l'autre de ces deux sanctions doive aboutir à un acquittement, plutôt qu'à une exemption de peine. 2.3.1. En l'espèce, il n'est pas contesté que l'appelant ne disposait pas des autorisations nécessaires, ni des moyens de subsistance, pour demeurer sur le territoire helvétique entre les 21 juin et 3 juillet 2013. Cela étant, à teneur des données administratives figurant au dossier, un renvoi vers l'Espagne était organisé par les autorités pendant la période considérée. Ce renvoi a pu être exécuté le 3 juillet 2013, ce qui signifie que l'appelant s'est tenu à disposition des autorités. Il est pour le moins étrange de le lui reprocher. Quoi qu'il en soit sur le plan de la culpabilité, infliger à l'appelant une sanction pour séjour illégal durant cette période contreviendrait à la directive sur le retour et à la jurisprudence y relative puisque la procédure administrative était en cours. Au vu de ce qui précède et compte tenu de la jurisprudence du Tribunal fédéral en la matière, l'appelant sera acquitté du chef de séjour illégal pour cette période. 2.3.2. Le Tribunal de police n'a pas reconnu, du moins dans son dispositif, l'appelant coupable d'entrée illégale au sens de l'art. 115 al. 1 let. a LEtr. Le comportement reproché le 10 juillet 2013 relevant de cette disposition et non de l'infraction de séjour illégal, il y a lieu de retenir que l'appelant a été acquitté sur ce point par le tribunal de première instance. Dès lors que la CPAR est liée par cette conclusion en l'absence d'appel du MP (art. 391 al. 2 CPP), l'appel paraît sans objet. La motivation du premier juge pouvant prêter à confusion, la CPAR réexaminera toutefois la peine à la lumière de ce qui précède. 2.3.3. La condamnation de l'appelant du chef de séjour illégal pour les périodes de 2014 et 2015 n'est pas critiquable, celui-ci étant délibérément revenu en Suisse et y étant resté sans disposer des autorisations nécessaires alors qu'il avait déjà fait l'objet de mesures coercitives de renvoi. L'on ne saurait exiger plus des autorités administratives. Un verdict de culpabilité et le prononcé d'une sanction ne sont pas exclus dans cette hypothèse selon la jurisprudence du Tribunal fédéral (voir arrêt du Tribunal fédéral 6B_196/2012 du 24 janvier 2013 consid. 2.2.2), ce qui n'est du reste pas contesté.</w:t>
      </w:r>
    </w:p>
    <w:p>
      <w:r>
        <w:rPr>
          <w:b/>
        </w:rPr>
        <w:t>E. 2.1</w:t>
      </w:r>
    </w:p>
    <w:p>
      <w:r>
        <w:t>. A teneur de l'art. 115 al. 1 LEtr, sera puni d'une peine privative de liberté d'un an au plus ou d'une peine pécuniaire, quiconque contrevient aux dispositions sur l'entrée en Suisse prévues à l'art. 5 LEtr (let. a) ou y séjourne illégalement (let. b).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rPr>
          <w:b/>
        </w:rPr>
        <w:t>E. 3</w:t>
      </w:r>
    </w:p>
    <w:p>
      <w:r>
        <w:t>3.1.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tribunal doit ensuite arrêter le montant du jour-amende.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3.4</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w:t>
      </w:r>
    </w:p>
    <w:p>
      <w:r>
        <w:rPr>
          <w:b/>
        </w:rPr>
        <w:t>E. 3.5</w:t>
      </w:r>
    </w:p>
    <w:p>
      <w:r>
        <w:t>En l'espèce, il est reproché à l'appelant deux séjours illégaux, d'une durée de 15 jours environ pour le premier et d'un mois et demi pour le second. Alors qu'il sait ne pas avoir le droit de séjourner dans ce pays, l'appelant persiste à vouloir y demeurer, au mépris des différentes décisions prises à son encontre. Son insistance paraît peu compréhensible dès lors qu'il n'a aucune attache dans ce pays. Vu la brièveté des périodes considérées, la faute demeure toutefois légère, étant encore relevé qu'aucune entrée illégale n'a été retenue à charge. L'appelant a immédiatement admis ne pas avoir les autorisations nécessaires et décrit ses différents séjours irréguliers. Sa collaboration à la procédure pénale doit être qualifiée de bonne. La prise de conscience est en revanche partielle. L'appelant explique ne pas présenter de risque de récidive en raison de sa relation amoureuse en France. Si ce facteur peut concrètement le détourner de la commission de nouvelles infractions à la LEtr en Suisse, il ne signifie pas que l'appelant réalise qu'il n'a pas le droit de séjourner sur le territoire helvétique. Il y a concours, ce qui justifie une augmentation de la peine dans une juste proportion (art. 49 al. 1 CP). Compte tenu de la faute et de la situation personnelle de l'appelant, une peine pécuniaire de 20 jours-amende sera prononcée, le montant du jour-amende, arrêté à raison au minimum jurisprudentiel de CHF 10.- par le premier juge, étant confirmé. Vu les antécédents de l'appelant, son absence de prise de conscience et la répétition d'infractions de même nature à brefs intervalles, c'est à juste titre que le premier juge a refusé le sursis. Le prononcé d'une peine ferme dans la présente cause étant susceptible de détourner l'appelant de la commission de nouvelles infractions, il ne paraît pas nécessaire de révoquer en sus le sursis octroyé par le MP le 23 juin 2013. Le jugement entrepris sera modifié dans le sens qui précède.</w:t>
      </w:r>
    </w:p>
    <w:p>
      <w:r>
        <w:rPr>
          <w:b/>
        </w:rPr>
        <w:t>E. 4</w:t>
      </w:r>
    </w:p>
    <w:p>
      <w:r>
        <w:t>L'appel étant admis, l'émolument de jugement complémentaire (CHF 600.-) et les frais de la procédure d'appel seront laissés à la charge de l'Etat (art. 428 al. 1 CPP). Vu les acquittements prononcés en première instance et en appel, l'appelant sera condamné à la moitié des frais de la procédure de première instance, le solde étant laissé à la charge de l'Etat (art. 428 al. 3 et 426 al. 1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5.2.3.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Les documents ne nécessitant pas ou peu de motivation, telles l'annonce d'appel et la déclaration d'appel, sont en principe inclus dans le forfait ( AARP/184/2016 du 28 avril 2016 consid. 5.2.3.2 et 5.3.1 ; AARP/149/2016 du 20 avril 2016 consid. 5.3 et 5.4 ; AARP/146/2013 du 4 avril 2013 ; ordonnance de la Cour des plaintes du Tribunal pénal fédéral BB.2014.51 du 21 novembre 2014 consid. 2.1 ; décisions de la Cour des plaintes du Tribunal pénal fédéral BB.2013.165 du 24 janvier 2014 consid. 4.1.3 et BB.2013.127 du 4 décembre 2013 consid. 4.2). 5.2.4. En l'occurrence, le temps consacré à la rédaction de l'annonce d'appel et de la déclaration d'appel sera déduit de l'état de frais présenté par M e X______, ces prestations étant incluses dans le forfait pour l'activité diverse. Sous cette réserve, l'état de frais produit est adéquat et conforme aux principes qui précèdent. Ainsi, l'indemnité sera arrêtée à CHF 1'231.20, correspondant à 4h45 d'activité au tarif de CHF 200.-/heure (CHF 950.-), plus la majoration forfaitaire de 20% (CHF 190.-) et l'équivalent de la TVA au taux de 8% (CHF 91.20).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