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P/3089/2024 vom 27. März 2024</w:t>
      </w:r>
    </w:p>
    <w:p>
      <w:r>
        <w:t>GE Cour de justice, 2024-03-27, FR</w:t>
      </w:r>
    </w:p>
    <w:p>
      <w:r>
        <w:rPr>
          <w:b/>
        </w:rPr>
        <w:t xml:space="preserve">Quelle: </w:t>
      </w:r>
      <w:r>
        <w:t>https://mcp.opencaselaw.ch/entscheid/ge_gerichte_P_3089_2024</w:t>
      </w:r>
    </w:p>
    <w:p>
      <w:r>
        <w:t>FR: GE_GERICHTE P/3089/2024 du 27 mars 2024</w:t>
      </w:r>
    </w:p>
    <w:p>
      <w:r>
        <w:t>IT: GE_GERICHTE P/3089/2024 del 27 marzo 2024</w:t>
      </w:r>
    </w:p>
    <w:p>
      <w:pPr>
        <w:pStyle w:val="Heading2"/>
      </w:pPr>
      <w:r>
        <w:t>Regeste</w:t>
      </w:r>
    </w:p>
    <w:p>
      <w:r>
        <w:t>DÉLAI DE RECOURS;DÉFENSE D'OFFICE;COMPLEXITÉ DE LA PROCÉDURE | CPP.396; CPP.132</w:t>
      </w:r>
    </w:p>
    <w:p>
      <w:pPr>
        <w:pStyle w:val="Heading2"/>
      </w:pPr>
      <w:r>
        <w:t>Erwägungen</w:t>
      </w:r>
    </w:p>
    <w:p>
      <w:r>
        <w:rPr>
          <w:b/>
        </w:rPr>
        <w:t>E. 1.1</w:t>
      </w:r>
    </w:p>
    <w:p>
      <w:r>
        <w:t>À teneur de l’art. 396 al. 1 CPP, le délai de recours est de dix jours.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Tribunal fédéral 6B_397/2012 du 20 septembre 2012 consid 1.2; cf. aussi ACPR/203/2024 du 18 mars 2024 consid. 3.2.2).</w:t>
      </w:r>
    </w:p>
    <w:p>
      <w:r>
        <w:rPr>
          <w:b/>
        </w:rPr>
        <w:t>E. 1.2</w:t>
      </w:r>
    </w:p>
    <w:p>
      <w:r>
        <w:t>En l'espèce, si le sceau postal indique que le pli contenant le recours a été posté le 9 avril 2024, soit après l'échéance du délai de recours - tombant le 8 avril 2024 -, l'attestation signée d'un témoin – dont les coordonnées et le nom ont été fournis – figurant au dos de l'enveloppe confirme que le recours a été déposé dans une boîte aux lettres de la Poste la veille, soit dans le délai prévu à l'art. 396 al. 1 CPP, indépendamment des précisions apportées par la suite par l'Étude du conseil du recourant. La recevabilité du recours sous cet angle sera ainsi admise, sans qu'il ne soit nécessaire d'investiguer davantage.</w:t>
      </w:r>
    </w:p>
    <w:p>
      <w:r>
        <w:rPr>
          <w:b/>
        </w:rPr>
        <w:t>E. 1.3</w:t>
      </w:r>
    </w:p>
    <w:p>
      <w:r>
        <w:t>Pour le surplus, le recours est recevable pour avoir été déposé selon la forme prescrite (art. 385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ceux-ci (art. 382 al. 1 CPP).</w:t>
      </w:r>
    </w:p>
    <w:p>
      <w:r>
        <w:rPr>
          <w:b/>
        </w:rPr>
        <w:t>E. 2</w:t>
      </w:r>
    </w:p>
    <w:p>
      <w:r>
        <w:t>Le recourant reproche à l'autorité précédente de ne pas l'avoir mis au bénéfice d'une défense d'office.</w:t>
      </w:r>
    </w:p>
    <w:p>
      <w:r>
        <w:rPr>
          <w:b/>
        </w:rPr>
        <w:t>E. 2.1</w:t>
      </w:r>
    </w:p>
    <w:p>
      <w:r>
        <w:t>En dehors des cas de défense obligatoire, l'art. 132 al. 1 let. b CPP soumet le droit à l'assistance d'un défenseur d'office aux conditions que le prévenu soit indigent et que la sauvegarde de ses intérêts justifie une telle assistance.</w:t>
      </w:r>
    </w:p>
    <w:p>
      <w:r>
        <w:rPr>
          <w:b/>
        </w:rPr>
        <w:t>E. 2.2</w:t>
      </w:r>
    </w:p>
    <w:p>
      <w:r>
        <w:t>Une personne est indigente lorsqu'elle n'est pas en mesure d'assumer les frais de la procédure sans porter atteinte au minimum nécessaire à son entretien et à celui de sa famille (ATF 141 III 369 consid. 4.1).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2.3.1.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1B_157/2021 du 31 mars 2021 consid. 3.2). 2.3.2.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1B_276/2022 du 23 septembre 2022 consid. 3.1; 1B_591/2021 du 12 janvier 2022 consid. 2.1). 2.3.3.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2.3.4.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1B_591/2021 du 12 janvier 2022 consid. 2.1).</w:t>
      </w:r>
    </w:p>
    <w:p>
      <w:r>
        <w:rPr>
          <w:b/>
        </w:rPr>
        <w:t>E. 2.4</w:t>
      </w:r>
    </w:p>
    <w:p>
      <w:r>
        <w:t>En l'espèce, la réalisation de la condition de l'indigence pourrait déjà être remise en doute. Le revenu annuel déclaré par le recourant dans son formulaire ne correspond pas à celui retenu par les autorités fiscales et l'absence de toute autre information empêche de connaître le montant exact de son salaire. En outre, ses charges alléguées ne sont pas étayées par pièces, de sorte qu'il est impossible de les établir avec certitude. Point n'est toutefois besoin d'examiner plus en avant cette condition, compte tenu de ce qui suit. Le Ministère public a condamné le recourant – par ordonnance pénale frappée d'opposition – à une peine privative de liberté de soixante jours, laquelle, seule, ne dépasse de loin pas le seuil prévu à l'art. 132 al. 3 CPP. Cependant, si l'on tient compte d'une éventuelle révocation du sursis antérieur, la peine encourue par le recourant pourrait dépasser les limites de ce que l'on qualifie de cas de peu de gravité. Ce nonobstant, la seconde condition – cumulative – de l'art. 132 al. 2 CPP n'est pas réunie. Le recourant est prévenu de deux infractions, soit conduite sans permis (art. 95 al. 1 let. a LCR) et violation grave des règles de la circulation (art. 90 al. 2 LCR). Pour le premier volet, il a admis les faits et ne les discute pas. Au sujet du second, il a déjà été entendu à deux reprises – à la police et devant le Ministère public – sans exiger la présence d'un avocat. Lors de ces auditions, il a donné sa version circonstanciée des faits en lien avec l'accident, en déclarant sans ambages que la responsabilité incombait à l'autre conducteur. On peine ainsi à comprendre, compte tenu de ce qui précède, quelle difficulté particulière soulèverait l'audience de confrontation à venir nécessitant l'assistance d'un conseil, dès lors que le recourant a démontré jusqu'ici être en mesure de se défendre seul. D'ailleurs, il a formé seul son opposition à l'ordonnance pénale, avant que son conseil ne s'annonce pour la première fois auprès du Ministère public. Au demeurant, dans son opposition, le recourant n'a pas contesté les faits retenus mais seulement la quotité de la peine. À cet égard, il apparaît capable d'exposer seul les éléments pertinents pour la fixation de celle-ci, y compris les risques allégués pour la suite de ses études. Plus généralement, les dispositions légales applicables sont circonscrites et, compte tenu de sa défense, le recourant semble en avoir compris les enjeux, étant rappelé qu'il a déjà fait l'objet d'une précédente condamnation pour les mêmes infractions. À cela s'ajoute encore que le recourant parle et comprend parfaitement le français. Partant, la condition de la complexité de la procédure n'étant pas réalisée, l'art. 132 al. 2 CPP ne trouve pas application. Il s'ensuit que c'est à juste titre que le Ministère public a considéré que les conditions d'une défense d'office n'étaient pas réunies. Le refus de désigner un défenseur d'office à l'intéressé ne viole ainsi pas l'art. 132 CPP.</w:t>
      </w:r>
    </w:p>
    <w:p>
      <w:r>
        <w:rPr>
          <w:b/>
        </w:rPr>
        <w:t>E. 3</w:t>
      </w:r>
    </w:p>
    <w:p>
      <w:r>
        <w:t>Justifiée, l'ordonnance querellée sera donc confirmée. Le recours, qui s'avère mal fondé, pouvait être traité d'emblée sans échange d'écritures, ni débats (art. 390 al. 2 et 5 a contrario CPP).</w:t>
      </w:r>
    </w:p>
    <w:p>
      <w:r>
        <w:rPr>
          <w:b/>
        </w:rPr>
        <w:t>E. 4</w:t>
      </w:r>
    </w:p>
    <w:p>
      <w:r>
        <w:t>La décision de refus de l'assistance judiciaire sera rendue sans frais (art. 20 du Règlement sur l'assistance juridique [E 2 05.04;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