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P/3044/2017 vom 23. März 2018</w:t>
      </w:r>
    </w:p>
    <w:p>
      <w:r>
        <w:t>GE Cour de justice, 2018-03-23, FR</w:t>
      </w:r>
    </w:p>
    <w:p>
      <w:r>
        <w:rPr>
          <w:b/>
        </w:rPr>
        <w:t xml:space="preserve">Quelle: </w:t>
      </w:r>
      <w:r>
        <w:t>https://mcp.opencaselaw.ch/entscheid/ge_gerichte_P_3044_2017</w:t>
      </w:r>
    </w:p>
    <w:p>
      <w:r>
        <w:t>FR: GE_GERICHTE P/3044/2017 du 23 mars 2018</w:t>
      </w:r>
    </w:p>
    <w:p>
      <w:r>
        <w:t>IT: GE_GERICHTE P/3044/2017 del 23 marzo 2018</w:t>
      </w:r>
    </w:p>
    <w:p>
      <w:pPr>
        <w:pStyle w:val="Heading2"/>
      </w:pPr>
      <w:r>
        <w:t>Regeste</w:t>
      </w:r>
    </w:p>
    <w:p>
      <w:r>
        <w:t>CITOYENNETÉ DE L'UNION ; AUTORISATION DE TRAVAIL ; RÉPARTITION DES FRAIS | OLCP.32a; ALCP.7; OLCP.9.al1bis; LEtr.117; CPP.426.al2; CPP.430.al1.leta</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Au vu des principes qui précèdent, les deux pièces nouvelles produites par l’intimée ainsi que les allégations y relatives sont irrecevables, de sorte qu’il n’en sera pas tenu compte.</w:t>
      </w:r>
    </w:p>
    <w:p>
      <w:r>
        <w:rPr>
          <w:b/>
        </w:rPr>
        <w:t>E. 2</w:t>
      </w:r>
    </w:p>
    <w:p>
      <w:r>
        <w:t>2.1.1. Selon l’art. 7 de l’annexe I de l’accord entre la Confédération suisse, d'une part, et la Communauté européenne et ses Etats membres, d'autre part, sur la libre circulation des personnes conclu le 21 juin 1999 (ALCP ; RS 0.142.112.681),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(al. 1). Les travailleurs frontaliers n'ont pas besoin d'un titre de séjour. Cependant, l'autorité compétente de l'Etat d'emploi peut doter le travailleur frontalier salarié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 (al. 2). Le titre spécifique est valable pour l'ensemble du territoire de l'Etat qui l'a délivré (al. 3). 2.1.2. Selon l’art. 4 al. 1 OLCP, les ressortissants de l’Union européenne (UE) et de l'AELE (l’Association européenne de libre-échange) reçoivent une autorisation de séjour de courte durée UE/AELE, une autorisation de séjour UE/AELE ou une autorisation frontalière UE/AELE en application des dispositions de l’ALCP ou de la Convention instituant l'AELE. L'autorisation frontalière UE/AELE délivrée aux ressortissants de l'UE (à l'exception de la Croatie) et de l'AELE est valable sur tout le territoire suisse (art. 4 al. 3 OLCP). Les procédures de déclaration d'arrivée et d'autorisation sont régies par les art. 10 à 15 LEtr et 9, 10, 12, 13, 15 et 16 de l’ordonnance relative à l'admission, au séjour et à l'exercice d'une activité lucrative du 24 octobre 2007 (OASA - RS 142.201 ; art. 9 al. 1 OLCP). Selon l’art. 11 al. 1 LEtr, tout étranger qui entend exercer en Suisse une activité lucrative doit être titulaire d'une autorisation, quelle que soit la durée de son séjour. Il doit la solliciter auprès de l'autorité compétente du lieu de travail envisagé (al. 1). La nature des autorisations UE/AELE auxquelles un ressortissant d'un Etat de l'UE peut avoir droit en vertu de l'ALCP n'est pas constitutive, mais simplement déclarative (ATF 136 II 329 consid. 2.2 et 134 IV 57 consid. 4). Dès que les conditions pour l'octroi d'une autorisation UE/AELE sont remplies, ce document doit être accordé ; ce dernier ne fonde ainsi en principe pas le droit au séjour, mais ne fait qu'attester celui-ci (ATF 136 II 405 consid. 4.4 et 136 II 329 consid. 2 et 3). Une condamnation pénale ne pourra donc pas être prononcée au seul motif que le ressortissant d'un Etat de l'UE ne dispose pas d'une autorisation de séjour formelle, s'il remplit les conditions selon l'ALCP pour l'octroi d'une telle autorisation (arrêt du Tribunal fédéral 6B_839/2015 du 26 août 2016 consid. 3.3). 2.1.3. Selon l’art. 4 al. 4 OLCP, les ressortissants de l’UE et de l'AELE qui exercent une activité lucrative en Suisse dont la durée ne dépasse pas trois mois au total par année civile n'ont pas besoin d'une autorisation de séjour de courte durée UE/AELE. En cas de prise d'emploi sur le territoire suisse ne dépassant pas trois mois par année civile ou de services fournis par un prestataire indépendant pendant 90 jours ouvrables au plus par année civile, la procédure de déclaration d'arrivée (obligation d'annonce, procédure, éléments, délais) au sens de l'art. 6 de la loi du 8 octobre 1999 sur les travailleurs détachés (LDét ; RS 823.20) et de l'art. 6 de l'ordonnance du 21 mai 2003 sur les travailleurs détachés en Suisse (RS.823.201 ; ODét) s'applique par analogie. En cas de prise d'emploi sur le territoire suisse ne dépassant pas trois mois par année civile, l'annonce doit s'effectuer au plus tard la veille du jour marquant le début de l'activité (art. 9 al. 1bis OLCP). L’obligation de procéder à l’annonce incombe à l’employeur, lequel doit notamment indiquer l’identité et le salaire des personnes détachées en Suisse, l’activité déployée en Suisse et le lieu où les travaux seront exécutés (art. 6 al. 1 LDét). Est puni d'une amende de CHF 5’000.- au plus quiconque contrevient, intentionnellement ou par négligence, à cette obligation d’annonce (art. 32a OLCP). 2.1.4. Selon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Le terme "employer" doit être compris de manière large, comme consistant non seulement à conclure et exécuter un contrat de travail, mais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w:t>
      </w:r>
    </w:p>
    <w:p>
      <w:r>
        <w:rPr>
          <w:b/>
        </w:rPr>
        <w:t>E. 2.2</w:t>
      </w:r>
    </w:p>
    <w:p>
      <w:r>
        <w:t>En l’espèce, D______ (ci-après : l’employée), de nationalité française, est titulaire d’une autorisation frontalière valable du 28 septembre 2016 au 27 septembre 2021. Elle en a fait la demande pour une durée indéterminée et il ne ressort pas de la procédure que son activité au sein du salon de l’intimée serait limitée à trois mois au plus. Ladite activité n’était par conséquent pas soumise au devoir d’annonce par l’employeur au sens de l’art. 9 al. 1bis OLCP, de sorte que l’intimée n’a pas commis de contravention à cette obligation. Par ailleurs, ressortissante d’un Etat de l’UE, l’employée bénéficie d’un droit d’exercer en Suisse une activité lucrative en tant que frontalière, sans être titulaire d’un titre de séjour. Le fait qu’elle a effectivement reçu une autorisation frontalière, valable dès le 28 septembre 2016, confirme l’existence d’un tel droit. L’employée aurait certes dû obtenir son autorisation avant de débuter son activité mais, dès lors que son droit de travailler en Suisse résulte de l’ALCP, ce document n’a qu’une valeur déclarative. Aussi, l’intimée ne peut pas être condamnée pénalement, pour l’infraction prévue à l’art. 117 al. 1 LEtr, au motif que l’employée, lors du contrôle du 30 septembre 2016, n’avait pas encore demandé ni/ou reçu son autorisation frontalière. Au vu de ce qui précède, l’acquittement de l’intimée sera confirmé et l’appel rejeté sur ce point.</w:t>
      </w:r>
    </w:p>
    <w:p>
      <w:r>
        <w:rPr>
          <w:b/>
        </w:rPr>
        <w:t>E. 3</w:t>
      </w:r>
    </w:p>
    <w:p>
      <w:r>
        <w:t>3.1.1.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(ATF 119 Ia 332 consid. 1b ; arrêts du Tribunal fédéral 6B_1172/2016 du 29 août 2017 consid. 1.3 et 6B_156/2017 du 22 décembre 2017 consid. 3). Une condamnation aux frais en cas d'acquittement ou de classement de la procédure doit rester l'exception. Elle est exclue lorsque l'autorité est intervenue par excès de zèle, ensuite d'une mauvaise analyse de la situation ou par précipitation (ATF 116 Ia 162 consid. 2c ; arrêts du Tribunal fédéral 6B_385/2017 du 5 décembre 2017 consid. 2.1 et 6B_262/2015 du 29 janvier 2016 consid. 1.1). Pour déterminer si un comportement est propre au sens de l'art. 426 al. 2 CPP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et 116 Ia 162 consid. 2c ; arrêts du Tribunal fédéral 6B_156/2017 précité ; 6B_1172/2016 du 29 août 2017 consid. 1.3 et 6B_1146/2016 du 14 juillet 2017 consid. 1.3). Un fait est la cause naturelle d’un résultat dommageable s’il en constitue une des conditions sine qua non . Il n'est pas nécessaire que l'événement considéré soit la cause unique ou immédiate du résultat (ATF 143 III 242 consid. 3.7 ; arrêt du Tribunal fédéral 6B_433/2017 du 17 novembre 2017 consid. 3.5.1). 3.1.2. Si le prévenu est acquitté totalement ou en partie, il a droit à une indemnité pour les dépenses occasionnées par l’exercice raisonnable de ses droits de procédure (art. 429 al. 1 let. a CPP). L’autorité pénale peut réduire ou refuser cette indemnité notamment si le prévenu a provoqué illicitement et fautivement l’ouverture de la procédure ou a rendu plus difficile la conduite de celle-ci (art. 430 al. 1 let. a CPP).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3.1.3. Avant d'engager un étranger, l’employeur doit s'assurer qu'il est autorisé à exercer une activité lucrative en Suisse en examinant son titre de séjour ou en se renseignant auprès des autorités compétentes (art. 91 al. 1 LEtr). Selon l’art. 9 LProst,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(al. 1). La personne qui effectue l'annonce est considérée comme personne responsable au sens de la LProst (al. 4). L’art. 12 LProst oblige la personne responsable à tenir constamment à jour et en tout temps à disposition de la police, à l'intérieur du salon,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(let. a). Elle doit s’assurer qu’elles ne contreviennent pas à la législation, notamment celle relative au séjour et au travail des étrangers (let. b).</w:t>
      </w:r>
    </w:p>
    <w:p>
      <w:r>
        <w:rPr>
          <w:b/>
        </w:rPr>
        <w:t>E. 3.2</w:t>
      </w:r>
    </w:p>
    <w:p>
      <w:r>
        <w:t>En l’espèce, avant d’engager l’employée, l’intimée s’est satisfaite des explications orales de cette dernière, selon lesquelles le renouvellement de son permis de travail était en cours. Contrairement à ses devoirs d’employeur, plus spécifiquement de responsable de salon au sens de l’art. 9 al. 4 LProst, elle n’a pas attendu la remise dudit permis ni demandé celle d’un quelconque document écrit, comme une copie de la demande de l’employée, lui permettant de vérifier la nature de l’autorisation dont cette dernière était ou deviendrait titulaire. Elle n’a au surplus procédé à aucune vérification sur ce plan auprès de l’OCPM. L’intimée ne s’est donc pas assurée que l’employée ne contrevenait pas aux normes régissant le séjour et le travail des étrangers. Elle n’a pas non plus mis à jour le registre du salon devant être tenu à la disposition de la police, en y indiquant les informations relatives au type d’autorisation de séjour de l’employée et sa validité. Lors du contrôle du 30 septembre 2016, l’employée n’était pas titulaire d’un permis de travail et les inspecteurs n’ont pu obtenir aucune information de l’intimée, soit directement, soit par le biais du registre susmentionné, au sujet du statut de l’intéressée. Selon les renseignements reçus de l’OCPM le jour même, aucune demande d’autorisation n’était en cours d’examen. Contrairement à l’opinion de l’intimée, il ne résulte pas du dossier administratif de l’employée que cette information était fausse, la demande de cette dernière, datée du 28 septembre 2016, ayant été reçue par l’OCPM le 5 octobre suivant. La police a dès lors considéré, l’employée étant une ressortissante d’un Etat de l’UE, que son activité à Genève était soumise au devoir d’annonce de l’employeur et que l’intimée avait dès lors contrevenu à son obligation à cet égard. La précitée n’a par la suite rien entrepris pour renseigner la police et le SDC, se contentant de se référer à ce que lui avait dit l’employée. Or, compte tenu des informations obtenues de l’OCPM le jour du contrôle, rien ne laissait supposer qu’une autorisation frontalière était en cours d’examen et qu’une telle autorisation serait ou avait déjà été accordée. Seul l’apport du dossier administratif de l’employée obtenu par le premier juge a permis d’établir que cette dernière était au bénéfice d’une autorisation frontalière d’une durée indéterminée. En violant les devoirs qui lui incombaient au titre d’employeur et de responsable de salon, l’intimée a suscité auprès des autorités pénales et n’a par la suite pas infirmé l’idée selon laquelle l’activité de l’employée était soumise à l’obligation d’annonce. Elle aurait pu et dû, dès après le contrôle du 30 septembre 2016, à défaut de l’avoir fait auparavant, vérifier le statut de cette dernière de sorte à pouvoir renseigner les autorités à ce sujet le plus rapidement possible. Elle a dès lors provoqué l’ouverture ainsi que la continuation de la procédure pénale, jusqu’aux débats de première instance, de manière illicite. L’employée a certes également adopté un comportement fautif en débutant une activité lucrative frontalière sans être titulaire de l’autorisation y relative, mais le fait que la violation de ses devoirs par l’intimée n’est pas seule à l’origine de l’ouverture de la procédure pénale n’exclut pas le lien de causalité naturelle. Pour les motifs qui précèdent, l’appel sera partiellement admis, les frais de première instance seront intégralement mis à la charge de l’intimée et elle sera déboutée de ses conclusions en indemnité pour ses frais de défense à ce stade de la procédure.</w:t>
      </w:r>
    </w:p>
    <w:p>
      <w:r>
        <w:rPr>
          <w:b/>
        </w:rPr>
        <w:t>E. 4</w:t>
      </w:r>
    </w:p>
    <w:p>
      <w:r>
        <w:t>4.1.1. 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6B_636/2017 du 1 er septembre 2017 consid. 4.1 et 6B_136/2016 du 23 janvier 2017 consid. 4.1.2). Lorsqu'une partie obtient gain de cause sur un point, succombe sur un autre, le montant des frais à mettre à sa charge dépend de manière déterminante du travail nécessaire à trancher chaque point (arrêts du Tribunal fédéral 6B_636/2017 précité et 6B_620/2016 du 17 mai 2017 consid. 2.1.2). Les prétentions en indemnités et en réparation du tort moral dans la procédure de recours sont régies par les art. 429 à 434 CPP (art. 436 al. 1 CPP). Ce renvoi vise la procédure de recours en général. Il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arrêts du Tribunal fédéral 6B_620/2016 du 17 mai 2017 consid. 2.2.3 et 6B_118/2016 du 20 mars 2017 consid. 4.5.1). 4.1.2. L'indemnité visée par l'art. 429 CPP concerne les dépenses du prévenu pour un avocat de choix et n'est pas limitée aux cas de défense obligatoire visés par l'art. 130 CPP. L'assistance d'un avocat de choix sous l'angle de l'art. 429 al. 1 let. a CPP doit avoir été nécessaire, compte tenu de la complexité de l'affaire en fait ou en droit, de sorte que le volume de travail et donc les honoraires de l’avocat étaient justifiés. On ne peut pas partir du principe qu'en matière de contravention, le prévenu doit supporter en général seul ses frais de défense (ATF 142 IV 45 consid. 2.1 et 138 IV 197 consid. 2.3.6).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4.2</w:t>
      </w:r>
    </w:p>
    <w:p>
      <w:r>
        <w:t>En l’espèce, l’intimée n’obtient que partiellement gain de cause dans la mesure où elle succombe sur la question des frais et de l’indemnité de première instance. Elle sera dès lors condamnée au tiers des frais d’appel, comprenant un émolument de CHF 1'200.-. Elle peut en conséquence prétendre à une indemnité pour les dépenses occasionnées par l’exercice de ses droits de procédure correspondant aux deux tiers de ses frais de défense en appel, en tant que ceux-ci sont raisonnables. L’activité de 7h15 déployée par son conseil n’apparaît pas excessive et le tarif horaire de CHF 450.- est conforme à la jurisprudence susmentionnée. Les honoraires en résultant s’élevant à CHF 3'535.25, l’indemnité due à l’intimée pour ses frais de défense en appel sera arrêtée à CHF 2'400.-. Conformément à l’art. 442 al. 4 CPP, ladite indemnité sera compensée avec les frais de procédure mis à sa charge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