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P/3042/2015 vom 26. Oktober 2016</w:t>
      </w:r>
    </w:p>
    <w:p>
      <w:r>
        <w:t>GE Cour de justice, 2016-10-26, FR</w:t>
      </w:r>
    </w:p>
    <w:p>
      <w:r>
        <w:rPr>
          <w:b/>
        </w:rPr>
        <w:t xml:space="preserve">Quelle: </w:t>
      </w:r>
      <w:r>
        <w:t>https://mcp.opencaselaw.ch/entscheid/ge_gerichte_P_3042_2015</w:t>
      </w:r>
    </w:p>
    <w:p>
      <w:r>
        <w:t>FR: GE_GERICHTE P/3042/2015 du 26 octobre 2016</w:t>
      </w:r>
    </w:p>
    <w:p>
      <w:r>
        <w:t>IT: GE_GERICHTE P/3042/2015 del 26 ottobre 2016</w:t>
      </w:r>
    </w:p>
    <w:p>
      <w:pPr>
        <w:pStyle w:val="Heading2"/>
      </w:pPr>
      <w:r>
        <w:t>Regeste</w:t>
      </w:r>
    </w:p>
    <w:p>
      <w:r>
        <w:t>SÉJOUR; PEINE PÉCUNIAIRE; PEINE PRIVATIVE DE LIBERTÉ; AMENDEMENT; PÉRIODE D'ESSAI; DIRECTIVE 2008/115/CE | LEtr.115.1.b; CP.34; CP.41; CP.46; CP.47; Directive sur le retour</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A teneur de l'art. 115 al. 1 let. b LEtr, l'infraction de séjour illégal est punie d'une peine privative de liberté d'un an au plus ou d'une peine pécuniaire.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Dans l'affaire Skerdjan Celaj C-290/14 du 1 er octobre 2015, la CJUE a retenu qu' a fortiori , la Directive sur le retour ne s'opposait pas à ce que des sanctions pénales soient infligées suivant les règles nationales, dans le respect des droits fondamentaux et, le cas échéant, de la Convention de Genève, à des ressortissants de pays tiers en situation de séjour irrégulier qui entrent de nouveau irrégulièrement sur le territoire d'un Etat membre en violation de l'interdiction d'entrée dont ils font l'objet. 2.2.1. Selon l'art. 47 CP,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67). 2.2.2.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Pour l'octroi du sursis, le juge doit poser un pronostic quant au comportement futur de l'auteur, la question de savoir si le sursis serait de nature à le détourner de commettre de nouvelles infractions devant être tranchées sur la base d'une appréciation d'ensemble, qui tient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l'absence de pronostic défavorable étant suffisante. En d'autres termes, le sursis est désormais la règle dont on ne peut s'écarter qu'en présence d'un pronostic défavorable et prime en cas d'incertitude (ATF 134 IV 1 consid. 4.2.2 p. 5 ss).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Lorsque des motifs de prévention spéciale permettent de considérer que l'une ou l'autre de ces peines seraient d'emblée inadaptées, le juge peut prononcer une peine privative de liberté de courte durée (arrêt du Tribunal fédéral 6B_889/2015 du 30 mai 2016 consid. 4.3 et les références citées). 2.2.3.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6B_889/2015 du 30 mai 2016 consid. 4.3 ; 6B_196/2012 du 24 janvier 2013 consid. 3.3). 2.2.4. Selon l'art. 46 CP, si, durant le délai d'épreuve, le condamné commet un crime ou un délit et qu'il y a dès lors lieu de prévoir qu'il commettra de nouvelles infractions, le juge révoque le sursis (al. 1).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ss).</w:t>
      </w:r>
    </w:p>
    <w:p>
      <w:r>
        <w:rPr>
          <w:b/>
        </w:rPr>
        <w:t>E. 2.3</w:t>
      </w:r>
    </w:p>
    <w:p>
      <w:r>
        <w:t>L'appelant ne conteste à juste titre pas sa punissabilité du chef de séjour illégal. Il a en effet fait l'objet d'une procédure de renvoi vers la France qui a été menée à bien en septembre 2013, en application des accords dits de Dublin. L'appelant est ensuite revenu en Suisse de son plein gré, au mépris de la législation en vigueur, et sa liberté d'agir était entière, l'existence, non étayée, d'une amie à Genève n'étant pas déterminante. Il est constant que l'appelant a de nombreux antécédents spécifiques, ce qui exclut le prononcé du sursis. Le fait qu'il soit revenu en Suisse après son refoulement, en dépit de la mesure d'éloignement dont il fait l'objet, montre qu'il fait peu de cas des lois et des décisions des autorités. De plus, les peines pécuniaires avec sursis précédemment prononcées n'ont pas eu l'effet dissuasif escompté. Pour des motifs de prévention spéciale, seule une peine privative de liberté entre dès lors en ligne de compte. Celle de 20 jours infligée par le premier juge est des plus mesurées et tient compte de manière adéquate de la faute, qui n'est pas anodine, même si la période pénale n'est pas très longue.</w:t>
      </w:r>
    </w:p>
    <w:p>
      <w:r>
        <w:rPr>
          <w:b/>
        </w:rPr>
        <w:t>E. 2.4</w:t>
      </w:r>
    </w:p>
    <w:p>
      <w:r>
        <w:t>L'appelant a commis l'infraction de séjour illégal dans les délais d'épreuve de trois ans respectivement de quatre ans fixés les 2 janvier 2014 et 8 décembre 2014 par le Ministère public et le Tribunal de police. Il s'agit d'une récidive spécifique intervenue dans la foulée de sa dernière condamnation. L'obstination de l'appelant à demeurer en Suisse, la trahison de la confiance placée en lui à deux reprises et le fait qu'il a déjà connu des brèves périodes de détention suite à des précédentes condamnations à des peines de prison fermes permettent de retenir que la nouvelle peine qui lui est infligée n'est à elle seule pas suffisamment dissuasive. Partant, la décision du premier juge de révoquer les sursis en question doit être approuvée. Au vu de ce qui précède, l'appel est entièrement rejeté.</w:t>
      </w:r>
    </w:p>
    <w:p>
      <w:r>
        <w:rPr>
          <w:b/>
        </w:rPr>
        <w:t>E. 3</w:t>
      </w:r>
    </w:p>
    <w:p>
      <w:r>
        <w:t>L'appelant, qui succombe, supportera les frais de la procédure envers l'Etat (art. 428 CPP).</w:t>
      </w:r>
    </w:p>
    <w:p>
      <w:r>
        <w:rPr>
          <w:b/>
        </w:rPr>
        <w:t>E. 4</w:t>
      </w:r>
    </w:p>
    <w:p>
      <w:r>
        <w:t>La note d'honoraires de M e X______, défenseur d'office de A______, est en adéquation avec la nature et la difficulté de la cause, de sorte qu'elle sera prise en compte dans son intégralité. Un forfait pour l'activité diverse de 20% lui sera, par ailleurs, alloué. L'indemnité sera arrêtée à CHF 648.-, correspondant à 2h30 d'activité au tarif de CHF 200.-/heure plus la majoration forfaitaire de 20% (CHF 100.-) et l'équivalent de la TVA au taux de 8% en CHF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