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P/3019/2017 vom 29. Dezember 2020</w:t>
      </w:r>
    </w:p>
    <w:p>
      <w:r>
        <w:t>GE Cour de justice, 2020-12-29, FR</w:t>
      </w:r>
    </w:p>
    <w:p>
      <w:r>
        <w:rPr>
          <w:b/>
        </w:rPr>
        <w:t xml:space="preserve">Quelle: </w:t>
      </w:r>
      <w:r>
        <w:t>https://mcp.opencaselaw.ch/entscheid/ge_gerichte_P_3019_2017</w:t>
      </w:r>
    </w:p>
    <w:p>
      <w:r>
        <w:t>FR: GE_GERICHTE P/3019/2017 du 29 décembre 2020</w:t>
      </w:r>
    </w:p>
    <w:p>
      <w:r>
        <w:t>IT: GE_GERICHTE P/3019/2017 del 29 dicembre 2020</w:t>
      </w:r>
    </w:p>
    <w:p>
      <w:pPr>
        <w:pStyle w:val="Heading2"/>
      </w:pPr>
      <w:r>
        <w:t>Regeste</w:t>
      </w:r>
    </w:p>
    <w:p>
      <w:r>
        <w:t>CAUSALITÉ ADÉQUATE;CAUSALITÉ NATURELLE | CP.122; CP.125; CO.47; CO.49</w:t>
      </w:r>
    </w:p>
    <w:p>
      <w:pPr>
        <w:pStyle w:val="Heading2"/>
      </w:pPr>
      <w:r>
        <w:t>Erwägungen</w:t>
      </w:r>
    </w:p>
    <w:p>
      <w:r>
        <w:rPr>
          <w:b/>
        </w:rPr>
        <w:t>E. 5</w:t>
      </w:r>
    </w:p>
    <w:p>
      <w:r>
        <w:t>2.1. En l'espèce, considérant les lésions subies par la plaignante, en particulier dentaires, concrétisées par les pièces médicales figurant au dossier, qui ont justifié un arrêt de travail de près de 20 jours, et tenant compte de son status dentaire particulièrement précaire, notamment mis en évidence par l'expertise, la Cour retient, en s'inspirant des critères établis par la SUVA, qu'il se justifie de lui allouer une indemnité pour tort moral correspondant approximativement à 5% du gain maximal assuré, correspondant à CHF 7'000.-. 5.2.2. A ce montant s'ajoute l'indemnité fondée sur l'art. 49 CO. Il est établi que la plaignante, qui a été sauvagement agressée par un inconnu, auquel elle tentait d'apporter son aide, a été lourdement affectée par les événements litigieux. Outre les cauchemars et les pertes de mémoire, le Dr G______ a notamment mis en évidence un état de stress post-traumatique, une symptomatologie anxieuse et un sentiment de persécution, aboutissant à un comportement d'évitement social, lesquels ont nécessité son hospitalisation à H______ et plusieurs séjours au CAPPI. L'appelante est par ailleurs au bénéfice de l'assurance-invalidité depuis les événements. Cela étant, il convient de tenir compte que l'état de santé psychologique de la plaignante était d'ores et déjà sévèrement fragilisé avant les faits, en raison de son trouble affectif bipolaire, de son état dépressif, ainsi que de ses troubles liés à l'utilisation abusive de benzodiazépines, tous préexistants. Conformément aux éléments médicaux figurant à la procédure, la Cour retient dès lors que les événements litigieux, dont le caractère traumatique est avéré, n'ont pas créé, mais ont contribué à renforcer et amplifier l'état dépressif de la plaignante et ses nombreux biais, ce qui doit entrer en ligne de compte dans la détermination de l'indemnité qui lui est due. Dans ce contexte, et considérant par ailleurs les montants fixés par la jurisprudence dans des situations comparables, il convient de fixer l'indemnité en faveur de l'appelante à CHF 4'000.-. Il sera ainsi fait partiellement droit aux conclusions de l'appelante, qui se verra allouer une indemnité pour tort moral d'un montant de CHF 11'000.-, avec intérêts à 5% dès le 15 novembre 2016. Le jugement sera partant réformé sur ce point.</w:t>
      </w:r>
    </w:p>
    <w:p>
      <w:r>
        <w:rPr>
          <w:b/>
        </w:rPr>
        <w:t>E. 6</w:t>
      </w:r>
    </w:p>
    <w:p>
      <w:r>
        <w:t>6.1.1. Selon l'art. 428 al. 1 première phrase CPP, les frais de la procédure de recours sont mis à la charge des parties dans la mesure où elles ont obtenu gain de cause ou succombé. La partie plaignante au bénéfice de l'assistance judiciaire est toutefois dispensée des frais de la procédure (art. 136 al. 2 let. b CPP). 6.1.2. Si l'autorité de recours rend elle-même une nouvelle décision, elle se prononce également sur les frais fixés par l'autorité inférieure (art. 428 al. 3 CPP). 6.2.1. En l'occurrence, vu la condamnation du prévenu pour l'ensemble des faits qui lui sont reprochés, la totalité des frais de première instance, en CHF 16'968.80, y compris l'émolument complémentaire de jugement de CHF 1'200.-, sera mise à sa charge. 6.2.2. En appel, l'appelante obtient en grande partie gain de cause, quand bien même elle succombe en particulier sur sa question préjudicielle et sur la qualification juridique des faits décrits aux points B.I.1 et B.I.2 de l'acte d'accusation. De son côté, l'intimé succombe sur sa demande de non-entrée en matière, sur sa culpabilité pour les faits décrits au point B.I.2 de l'acte d'accusation, ainsi que sur la question du tort moral. Ce dernier sera donc condamné à supporter le ¾ des frais de la procédure, le solde étant laissé à la charge de l'Etat, considérant que l'appelante, au bénéfice d'un conseil juridique gratuit, en est dispensée.</w:t>
      </w:r>
    </w:p>
    <w:p>
      <w:r>
        <w:rPr>
          <w:b/>
        </w:rPr>
        <w:t>E. 7</w:t>
      </w:r>
    </w:p>
    <w:p>
      <w:r>
        <w:t>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7.2.1. En l'occurrence, il convient de retrancher de l'état de frais de M e C______ le temps consacré à l'établissement du bordereau complémentaire, qui n'inclut que la copie du jugement entrepris figurant déjà au dossier. Les heures consacrées à l'examen du dossier, intervenu à la fin du mois de juillet 2020, soit plus de deux mois avant la rédaction du mémoire d'appel, ne seront pas non plus prises en considération, étant rappelé que la prise de connaissance du jugement entrepris est une activité comprise dans la majoration forfaitaire. Par ailleurs, l'activité déployée dans le cadre de la réplique sera réduite à 45 minutes, largement suffisantes considérant que cette écriture, longue de quatre pages, contient pour l'essentiel un condensé des arguments exposés dans le mémoire d'appel. Enfin, la majoration forfaitaire sera ramenée à 10%, l'activité totale déployée dépassant les 30 heures. En conclusion, la rémunération sera arrêtée à CHF 1'638.90, correspondant à six heures et 55 minutes d'activité au tarif de CHF 200.-/heure plus la majoration forfaitaire de 10%, ainsi que l'équivalent de la TVA au taux de 7.7% en CHF 117.15. 7.2.2. S'agissant de l'état de frais de M e E______, il sera tenu compte de deux conférences sur les trois évoquées, dont la durée totale sera arrêtée à une heure et 30 minutes, suffisantes au vu de la parfaite connaissance du dossier déjà plaidé en première instance. Pour les mêmes motifs, l'activité consacrée à la préparation desdites conférences ne sera pas prise en considération. Les 50 minutes dédiées à la rédaction de la demande de non-entrée en matière apparaissent excessives, compte tenu de l'étendue limitée (une page et demi) et l'absence de complexité de la problématique. Il convient donc de ramener l'activité y relative à 30 minutes. Par ailleurs, l'activité liée à la rédaction de la réponse sera réduite à cinq heures et 30 minutes, dès lors que le mémoire en question, long de 13 pages, contient pour l'essentiel une reprise des arguments développés dans le jugement entrepris. Enfin, la majoration forfaitaire sera ramenée à 10%, dès lors que l'état de frais global porte sur plus de 30 heures. Partant, la rémunération de M e E______ sera arrêtée à CHF 1'777.05, correspondant à sept heures et 30 minutes d'activité au tarif de CHF 200.-/heure, plus la majoration forfaitaire de 10% et l'équivalent de la TVA au taux de 7.7% en CHF 127.05.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